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附件3 </w:t>
      </w:r>
    </w:p>
    <w:p>
      <w:pPr>
        <w:autoSpaceDN w:val="0"/>
        <w:spacing w:before="161" w:beforeLines="50" w:after="161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年评选福州市知名农业品牌申报名额分配表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55"/>
        <w:gridCol w:w="1305"/>
        <w:gridCol w:w="1335"/>
        <w:gridCol w:w="1152"/>
        <w:gridCol w:w="1136"/>
        <w:gridCol w:w="1216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福州市农产品区域公用品牌</w:t>
            </w:r>
          </w:p>
        </w:tc>
        <w:tc>
          <w:tcPr>
            <w:tcW w:w="3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福州市知名农产品品牌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农业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渔业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林业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农业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渔业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福清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县（市）区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及市本级均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不超过3个。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县（市）区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及市本级均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不超过3个。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长乐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连江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罗源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闽侯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闽清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永泰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仓山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晋安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马尾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高新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福州市本级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1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7346"/>
    <w:rsid w:val="77B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2020-06-10T03:12:00Z</dcterms:created>
  <dc:creator>张泽楠</dc:creator>
  <cp:lastModifiedBy>张泽楠</cp:lastModifiedBy>
  <dcterms:modified xsi:type="dcterms:W3CDTF">2020-06-10T03:12:23Z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