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jc w:val="left"/>
        <w:textAlignment w:val="auto"/>
        <w:outlineLvl w:val="9"/>
        <w:rPr>
          <w:rFonts w:hint="default" w:ascii="仿宋" w:hAnsi="仿宋" w:eastAsia="仿宋"/>
          <w:color w:val="auto"/>
          <w:position w:val="0"/>
          <w:sz w:val="32"/>
          <w:szCs w:val="32"/>
        </w:rPr>
      </w:pPr>
      <w:r>
        <w:rPr>
          <w:rFonts w:hint="default" w:ascii="仿宋" w:hAnsi="仿宋" w:eastAsia="仿宋"/>
          <w:color w:val="auto"/>
          <w:position w:val="0"/>
          <w:sz w:val="32"/>
          <w:szCs w:val="32"/>
        </w:rPr>
        <w:t>附件</w:t>
      </w:r>
      <w:r>
        <w:rPr>
          <w:rFonts w:hint="eastAsia" w:ascii="仿宋" w:hAnsi="仿宋" w:eastAsia="仿宋"/>
          <w:color w:val="auto"/>
          <w:position w:val="0"/>
          <w:sz w:val="32"/>
          <w:szCs w:val="32"/>
          <w:lang w:val="en-US" w:eastAsia="zh-CN"/>
        </w:rPr>
        <w:t>4</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jc w:val="center"/>
        <w:textAlignment w:val="auto"/>
        <w:outlineLvl w:val="9"/>
        <w:rPr>
          <w:rFonts w:hint="default" w:ascii="方正小标宋简体" w:hAnsi="方正小标宋简体" w:eastAsia="方正小标宋简体"/>
          <w:color w:val="auto"/>
          <w:position w:val="0"/>
          <w:sz w:val="36"/>
          <w:szCs w:val="36"/>
        </w:rPr>
      </w:pPr>
      <w:r>
        <w:rPr>
          <w:rFonts w:hint="default" w:ascii="方正小标宋简体" w:hAnsi="方正小标宋简体" w:eastAsia="方正小标宋简体"/>
          <w:color w:val="auto"/>
          <w:position w:val="0"/>
          <w:sz w:val="36"/>
          <w:szCs w:val="36"/>
        </w:rPr>
        <w:t>202</w:t>
      </w:r>
      <w:r>
        <w:rPr>
          <w:rFonts w:hint="eastAsia" w:ascii="方正小标宋简体" w:hAnsi="方正小标宋简体" w:eastAsia="方正小标宋简体"/>
          <w:color w:val="auto"/>
          <w:position w:val="0"/>
          <w:sz w:val="36"/>
          <w:szCs w:val="36"/>
          <w:lang w:val="en-US" w:eastAsia="zh-CN"/>
        </w:rPr>
        <w:t>5</w:t>
      </w:r>
      <w:r>
        <w:rPr>
          <w:rFonts w:hint="default" w:ascii="方正小标宋简体" w:hAnsi="方正小标宋简体" w:eastAsia="方正小标宋简体"/>
          <w:color w:val="auto"/>
          <w:position w:val="0"/>
          <w:sz w:val="36"/>
          <w:szCs w:val="36"/>
        </w:rPr>
        <w:t>年畜禽养殖废弃物资源化利用项目实施方案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根据《福州市促进畜牧业高质量发展实施方案》（福州市人民政府办公厅文件办理告知单GZ2021NY00029）精神，</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提升全</w:t>
      </w:r>
      <w:r>
        <w:rPr>
          <w:rFonts w:hint="default" w:ascii="仿宋_GB2312" w:hAnsi="仿宋_GB2312" w:eastAsia="仿宋_GB2312" w:cs="仿宋_GB2312"/>
          <w:sz w:val="32"/>
          <w:szCs w:val="32"/>
          <w:lang w:val="en-US" w:eastAsia="zh-CN"/>
        </w:rPr>
        <w:t>市畜禽养殖废弃物资源化利用</w:t>
      </w:r>
      <w:r>
        <w:rPr>
          <w:rFonts w:hint="eastAsia" w:ascii="仿宋_GB2312" w:hAnsi="仿宋_GB2312" w:eastAsia="仿宋_GB2312" w:cs="仿宋_GB2312"/>
          <w:sz w:val="32"/>
          <w:szCs w:val="32"/>
          <w:lang w:val="en-US" w:eastAsia="zh-CN"/>
        </w:rPr>
        <w:t>效果</w:t>
      </w:r>
      <w:r>
        <w:rPr>
          <w:rFonts w:hint="default" w:ascii="仿宋_GB2312" w:hAnsi="仿宋_GB2312" w:eastAsia="仿宋_GB2312" w:cs="仿宋_GB2312"/>
          <w:sz w:val="32"/>
          <w:szCs w:val="32"/>
          <w:lang w:val="en-US" w:eastAsia="zh-CN"/>
        </w:rPr>
        <w:t>，推动畜牧业转型升级，</w:t>
      </w:r>
      <w:r>
        <w:rPr>
          <w:rFonts w:hint="eastAsia" w:ascii="仿宋_GB2312" w:hAnsi="仿宋_GB2312" w:eastAsia="仿宋_GB2312" w:cs="仿宋_GB2312"/>
          <w:sz w:val="32"/>
          <w:szCs w:val="32"/>
          <w:lang w:val="en-US" w:eastAsia="zh-CN"/>
        </w:rPr>
        <w:t>经市财政安排</w:t>
      </w:r>
      <w:r>
        <w:rPr>
          <w:rFonts w:hint="default" w:ascii="仿宋_GB2312" w:hAnsi="仿宋_GB2312" w:eastAsia="仿宋_GB2312" w:cs="仿宋_GB2312"/>
          <w:sz w:val="32"/>
          <w:szCs w:val="32"/>
          <w:lang w:val="en-US" w:eastAsia="zh-CN"/>
        </w:rPr>
        <w:t>，切块下达202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年畜禽养殖废弃物资源化利用专项资金500万元，现将资金使用及工作任务目标要求通知如下：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position w:val="0"/>
          <w:sz w:val="32"/>
          <w:szCs w:val="32"/>
        </w:rPr>
      </w:pPr>
      <w:r>
        <w:rPr>
          <w:rFonts w:hint="eastAsia" w:ascii="黑体" w:hAnsi="黑体" w:eastAsia="黑体" w:cs="黑体"/>
          <w:color w:val="auto"/>
          <w:position w:val="0"/>
          <w:sz w:val="32"/>
          <w:szCs w:val="32"/>
        </w:rPr>
        <w:t>一、任务目标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按照“填平补齐”和“完善提升”原则对畜禽规模养殖场粪污资源化利用进行基础设施升级改造和设备更新换代，进一步提升全市畜禽规模养殖场粪污资源化利用效果。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default" w:ascii="黑体" w:hAnsi="黑体" w:eastAsia="黑体" w:cs="黑体"/>
          <w:color w:val="auto"/>
          <w:position w:val="0"/>
          <w:sz w:val="32"/>
          <w:szCs w:val="32"/>
        </w:rPr>
        <w:t>二、扶持对象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已备案的畜禽规模养殖场。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default" w:ascii="黑体" w:hAnsi="黑体" w:eastAsia="黑体" w:cs="黑体"/>
          <w:color w:val="auto"/>
          <w:position w:val="0"/>
          <w:sz w:val="32"/>
          <w:szCs w:val="32"/>
        </w:rPr>
        <w:t>三、建设内容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畜禽生产（饮用）水表、外围洗消（冲洗栏舍）水表、粪污（肥水）流量（液位）计、节水式水线（饮水器）、高压清洗、雨污分流等粪污减量相关及附属设施设备；二是刮粪机、运输车、输粪线、铲车、叉车等粪污收运相关及附属设施设备；三是固液分离机（柜）、叠螺机等粪污筛分相关及附属设施设备；四是集污池、液体粪污发酵设施（沼气池）、微生物异位发酵床、粪便发酵罐（塔）、粪便干燥（风干）机、阳光棚、</w:t>
      </w:r>
      <w:bookmarkStart w:id="0" w:name="_GoBack"/>
      <w:bookmarkEnd w:id="0"/>
      <w:r>
        <w:rPr>
          <w:rFonts w:hint="eastAsia" w:ascii="仿宋_GB2312" w:hAnsi="仿宋_GB2312" w:eastAsia="仿宋_GB2312" w:cs="仿宋_GB2312"/>
          <w:sz w:val="32"/>
          <w:szCs w:val="32"/>
          <w:lang w:val="en-US" w:eastAsia="zh-CN"/>
        </w:rPr>
        <w:t>农用（商品）有机肥厂（车间）等粪污处理相关及挖掘、翻抛、包装、装载、仓储等附属设施设备；五是储液池（罐）、调节池（罐）、肥水配比检测设施（一体机等）、提升泵、输送管网、滴灌喷灌等肥水利用相关及附属设施设备；六是畜禽养殖及粪污</w:t>
      </w:r>
      <w:r>
        <w:rPr>
          <w:rFonts w:hint="eastAsia" w:ascii="仿宋_GB2312" w:hAnsi="仿宋_GB2312" w:eastAsia="仿宋_GB2312" w:cs="仿宋_GB2312"/>
          <w:sz w:val="32"/>
          <w:szCs w:val="32"/>
          <w:lang w:val="zh-CN" w:eastAsia="zh-CN"/>
        </w:rPr>
        <w:t>收集、存储、运输、处理和利用全过程的</w:t>
      </w:r>
      <w:r>
        <w:rPr>
          <w:rFonts w:hint="eastAsia" w:ascii="仿宋_GB2312" w:hAnsi="仿宋_GB2312" w:eastAsia="仿宋_GB2312" w:cs="仿宋_GB2312"/>
          <w:sz w:val="32"/>
          <w:szCs w:val="32"/>
          <w:lang w:val="en-US" w:eastAsia="zh-CN"/>
        </w:rPr>
        <w:t>降臭相关设施设备；七是其他畜禽</w:t>
      </w:r>
      <w:r>
        <w:rPr>
          <w:rFonts w:hint="default" w:ascii="仿宋_GB2312" w:hAnsi="仿宋_GB2312" w:eastAsia="仿宋_GB2312" w:cs="仿宋_GB2312"/>
          <w:sz w:val="32"/>
          <w:szCs w:val="32"/>
          <w:lang w:val="en-US" w:eastAsia="zh-CN"/>
        </w:rPr>
        <w:t>粪污</w:t>
      </w:r>
      <w:r>
        <w:rPr>
          <w:rFonts w:hint="eastAsia" w:ascii="仿宋_GB2312" w:hAnsi="仿宋_GB2312" w:eastAsia="仿宋_GB2312" w:cs="仿宋_GB2312"/>
          <w:sz w:val="32"/>
          <w:szCs w:val="32"/>
          <w:lang w:val="en-US" w:eastAsia="zh-CN"/>
        </w:rPr>
        <w:t>资源化</w:t>
      </w:r>
      <w:r>
        <w:rPr>
          <w:rFonts w:hint="default"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lang w:val="en-US" w:eastAsia="zh-CN"/>
        </w:rPr>
        <w:t>相关设施设备。项目建设年限为2025年，建设内容不得与其他任何财政补助项目的建设内容重复。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default" w:ascii="黑体" w:hAnsi="黑体" w:eastAsia="黑体" w:cs="黑体"/>
          <w:color w:val="auto"/>
          <w:position w:val="0"/>
          <w:sz w:val="32"/>
          <w:szCs w:val="32"/>
        </w:rPr>
        <w:t>四、</w:t>
      </w:r>
      <w:r>
        <w:rPr>
          <w:rFonts w:hint="eastAsia" w:ascii="黑体" w:hAnsi="黑体" w:eastAsia="黑体" w:cs="黑体"/>
          <w:color w:val="auto"/>
          <w:position w:val="0"/>
          <w:sz w:val="32"/>
          <w:szCs w:val="32"/>
          <w:lang w:eastAsia="zh-CN"/>
        </w:rPr>
        <w:t>切块</w:t>
      </w:r>
      <w:r>
        <w:rPr>
          <w:rFonts w:hint="default" w:ascii="黑体" w:hAnsi="黑体" w:eastAsia="黑体" w:cs="黑体"/>
          <w:color w:val="auto"/>
          <w:position w:val="0"/>
          <w:sz w:val="32"/>
          <w:szCs w:val="32"/>
        </w:rPr>
        <w:t>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猪规模养殖场环评存栏2500头以下每个项目25万元、存栏2500-4999头45万元、存栏5000头及以上65万元；蛋鸡规模养殖场环评存栏10万羽以下每个项目25万元、存栏10-19.9999万羽50万元、存栏20万羽及以上75万元。具体补助标准由各有</w:t>
      </w:r>
      <w:r>
        <w:rPr>
          <w:rFonts w:hint="default"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lang w:val="en-US" w:eastAsia="zh-CN"/>
        </w:rPr>
        <w:t>县（市）区根据实际情况确定，</w:t>
      </w:r>
      <w:r>
        <w:rPr>
          <w:rFonts w:hint="default" w:ascii="仿宋_GB2312" w:hAnsi="仿宋_GB2312" w:eastAsia="仿宋_GB2312" w:cs="仿宋_GB2312"/>
          <w:sz w:val="32"/>
          <w:szCs w:val="32"/>
          <w:lang w:val="en-US" w:eastAsia="zh-CN"/>
        </w:rPr>
        <w:t>原则上按不高于总投资的50%补助。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default" w:ascii="黑体" w:hAnsi="黑体" w:eastAsia="黑体" w:cs="黑体"/>
          <w:color w:val="auto"/>
          <w:position w:val="0"/>
          <w:sz w:val="32"/>
          <w:szCs w:val="32"/>
        </w:rPr>
        <w:t>五、</w:t>
      </w:r>
      <w:r>
        <w:rPr>
          <w:rFonts w:hint="eastAsia" w:ascii="黑体" w:hAnsi="黑体" w:eastAsia="黑体" w:cs="黑体"/>
          <w:color w:val="auto"/>
          <w:position w:val="0"/>
          <w:sz w:val="32"/>
          <w:szCs w:val="32"/>
          <w:lang w:eastAsia="zh-CN"/>
        </w:rPr>
        <w:t>申报流程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各有关县（市）区农业农村、财政部门要严格按照</w:t>
      </w:r>
      <w:r>
        <w:rPr>
          <w:rFonts w:hint="eastAsia" w:ascii="仿宋_GB2312" w:hAnsi="仿宋_GB2312" w:eastAsia="仿宋_GB2312" w:cs="仿宋_GB2312"/>
          <w:sz w:val="32"/>
          <w:szCs w:val="32"/>
          <w:lang w:val="en-US" w:eastAsia="zh-CN"/>
        </w:rPr>
        <w:t>本实施方案要求</w:t>
      </w:r>
      <w:r>
        <w:rPr>
          <w:rFonts w:hint="default" w:ascii="仿宋_GB2312" w:hAnsi="仿宋_GB2312" w:eastAsia="仿宋_GB2312" w:cs="仿宋_GB2312"/>
          <w:sz w:val="32"/>
          <w:szCs w:val="32"/>
          <w:lang w:val="en-US" w:eastAsia="zh-CN"/>
        </w:rPr>
        <w:t>编制项目申报指南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各有关县（市）区农业农村部门要及时组织</w:t>
      </w:r>
      <w:r>
        <w:rPr>
          <w:rFonts w:hint="eastAsia" w:ascii="仿宋_GB2312" w:hAnsi="仿宋_GB2312" w:eastAsia="仿宋_GB2312" w:cs="仿宋_GB2312"/>
          <w:sz w:val="32"/>
          <w:szCs w:val="32"/>
          <w:lang w:val="en-US" w:eastAsia="zh-CN"/>
        </w:rPr>
        <w:t>企业按照项目申报指南</w:t>
      </w:r>
      <w:r>
        <w:rPr>
          <w:rFonts w:hint="default" w:ascii="仿宋_GB2312" w:hAnsi="仿宋_GB2312" w:eastAsia="仿宋_GB2312" w:cs="仿宋_GB2312"/>
          <w:sz w:val="32"/>
          <w:szCs w:val="32"/>
          <w:lang w:val="en-US" w:eastAsia="zh-CN"/>
        </w:rPr>
        <w:t>编制申报书和</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方案，并对项目</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申报材料</w:t>
      </w:r>
      <w:r>
        <w:rPr>
          <w:rFonts w:hint="default" w:ascii="仿宋_GB2312" w:hAnsi="仿宋_GB2312" w:eastAsia="仿宋_GB2312" w:cs="仿宋_GB2312"/>
          <w:sz w:val="32"/>
          <w:szCs w:val="32"/>
          <w:lang w:val="en-US" w:eastAsia="zh-CN"/>
        </w:rPr>
        <w:t>进行审核（或组织专家评审）、批复。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default" w:ascii="黑体" w:hAnsi="黑体" w:eastAsia="黑体" w:cs="黑体"/>
          <w:color w:val="auto"/>
          <w:position w:val="0"/>
          <w:sz w:val="32"/>
          <w:szCs w:val="32"/>
        </w:rPr>
        <w:t>六、做好验收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各有关县（市）区农业农村部门要加强技术指导与服务，确保项目有序推进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完成后</w:t>
      </w:r>
      <w:r>
        <w:rPr>
          <w:rFonts w:hint="eastAsia" w:ascii="仿宋_GB2312" w:hAnsi="仿宋_GB2312" w:eastAsia="仿宋_GB2312" w:cs="仿宋_GB2312"/>
          <w:sz w:val="32"/>
          <w:szCs w:val="32"/>
          <w:lang w:val="en-US" w:eastAsia="zh-CN"/>
        </w:rPr>
        <w:t>要达到畜禽粪污资源化利用效果，</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各有关</w:t>
      </w:r>
      <w:r>
        <w:rPr>
          <w:rFonts w:hint="default" w:ascii="仿宋_GB2312" w:hAnsi="仿宋_GB2312" w:eastAsia="仿宋_GB2312" w:cs="仿宋_GB2312"/>
          <w:sz w:val="32"/>
          <w:szCs w:val="32"/>
          <w:lang w:val="en-US" w:eastAsia="zh-CN"/>
        </w:rPr>
        <w:t>县（市）区农业农村</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组织验收。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rPr>
      </w:pPr>
      <w:r>
        <w:rPr>
          <w:rFonts w:hint="eastAsia" w:ascii="黑体" w:hAnsi="黑体" w:eastAsia="黑体" w:cs="黑体"/>
          <w:color w:val="auto"/>
          <w:position w:val="0"/>
          <w:sz w:val="32"/>
          <w:szCs w:val="32"/>
          <w:lang w:eastAsia="zh-CN"/>
        </w:rPr>
        <w:t>七、</w:t>
      </w:r>
      <w:r>
        <w:rPr>
          <w:rFonts w:hint="default" w:ascii="黑体" w:hAnsi="黑体" w:eastAsia="黑体" w:cs="黑体"/>
          <w:color w:val="auto"/>
          <w:position w:val="0"/>
          <w:sz w:val="32"/>
          <w:szCs w:val="32"/>
        </w:rPr>
        <w:t>资金管理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要设立专账核算，按项目批复的建设内容认真组织实施。各有关县（市）区农业农村、财政部门要加强监管，严禁套取、挪用、截留、拖付补贴资金行为，做到专款专用</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将项目申报企业报送当地公安机关进行背景审核，并依据审核结果严格把关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对纳入信用记录“黑名单”的企业，三年内不予安排市级财政专项资金。各有关县（市）区农业农村部门要</w:t>
      </w:r>
      <w:r>
        <w:rPr>
          <w:rFonts w:hint="eastAsia" w:ascii="仿宋_GB2312" w:hAnsi="仿宋_GB2312" w:eastAsia="仿宋_GB2312" w:cs="仿宋_GB2312"/>
          <w:sz w:val="32"/>
          <w:szCs w:val="32"/>
          <w:lang w:val="en-US" w:eastAsia="zh-CN"/>
        </w:rPr>
        <w:t>严格按照《福建省农业农村厅关于进一步强化项目资金公开工作的通知》（闽农计函〔2024〕93号）要求，主动落实“资金政策、资金分配、项目申报、项目评审、项目实施、项目验收”六公开。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黑体" w:hAnsi="黑体" w:eastAsia="黑体" w:cs="黑体"/>
          <w:color w:val="auto"/>
          <w:position w:val="0"/>
          <w:sz w:val="32"/>
          <w:szCs w:val="32"/>
          <w:lang w:eastAsia="zh-CN"/>
        </w:rPr>
      </w:pPr>
      <w:r>
        <w:rPr>
          <w:rFonts w:hint="default" w:ascii="黑体" w:hAnsi="黑体" w:eastAsia="黑体" w:cs="黑体"/>
          <w:color w:val="auto"/>
          <w:position w:val="0"/>
          <w:sz w:val="32"/>
          <w:szCs w:val="32"/>
          <w:lang w:eastAsia="zh-CN"/>
        </w:rPr>
        <w:t>八、绩效总结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各有关县（市）区农业农村</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要对项目执行情况和专项资金使用情况进行绩效总结分析，总结分析材料包括项目实施基本情况、资金使用情况和取得成效等，于202</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年1月31日前报市农业农村局畜牧站。</w:t>
      </w:r>
      <w:r>
        <w:rPr>
          <w:rFonts w:hint="eastAsia" w:ascii="仿宋_GB2312" w:hAnsi="仿宋_GB2312" w:eastAsia="仿宋_GB2312" w:cs="仿宋_GB2312"/>
          <w:sz w:val="32"/>
          <w:szCs w:val="32"/>
          <w:lang w:val="en-US" w:eastAsia="zh-CN"/>
        </w:rPr>
        <w:t>联系人：詹文庆，联系电话：18960770517。</w:t>
      </w:r>
    </w:p>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F0502020204030204"/>
    <w:charset w:val="00"/>
    <w:family w:val="auto"/>
    <w:pitch w:val="default"/>
    <w:sig w:usb0="00000000" w:usb1="00000000" w:usb2="00000000" w:usb3="00000000" w:csb0="FFFFFFFF"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00" w:usb3="00000000" w:csb0="00160000" w:csb1="00000000"/>
  </w:font>
  <w:font w:name="Helvetica Neue">
    <w:altName w:val="Times New Roman"/>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等线">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Kingsoft Sign">
    <w:altName w:val="Segoe Print"/>
    <w:panose1 w:val="05050102010706020507"/>
    <w:charset w:val="00"/>
    <w:family w:val="auto"/>
    <w:pitch w:val="default"/>
    <w:sig w:usb0="00000000" w:usb1="00000000" w:usb2="00000000" w:usb3="00000000" w:csb0="00000000" w:csb1="00000000"/>
  </w:font>
  <w:font w:name="宋体-简">
    <w:altName w:val="宋体"/>
    <w:panose1 w:val="02010600040101010101"/>
    <w:charset w:val="86"/>
    <w:family w:val="auto"/>
    <w:pitch w:val="default"/>
    <w:sig w:usb0="00000000" w:usb1="00000000" w:usb2="00000000" w:usb3="00000000" w:csb0="0016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Calibri">
    <w:panose1 w:val="020F0502020204030204"/>
    <w:charset w:val="86"/>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00"/>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PingFang SC">
    <w:altName w:val="Courier New"/>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Yu Gothic">
    <w:altName w:val="MS UI Gothic"/>
    <w:panose1 w:val="020B0400000000000000"/>
    <w:charset w:val="80"/>
    <w:family w:val="swiss"/>
    <w:pitch w:val="default"/>
    <w:sig w:usb0="00000000" w:usb1="00000000" w:usb2="00000016" w:usb3="00000000" w:csb0="0002009F" w:csb1="00000000"/>
  </w:font>
  <w:font w:name="MS UI Gothic">
    <w:panose1 w:val="020B0600070205080204"/>
    <w:charset w:val="80"/>
    <w:family w:val="auto"/>
    <w:pitch w:val="default"/>
    <w:sig w:usb0="E00002FF" w:usb1="6AC7FDFB" w:usb2="00000012" w:usb3="00000000" w:csb0="4002009F" w:csb1="DFD70000"/>
  </w:font>
  <w:font w:name="40">
    <w:altName w:val="宋体"/>
    <w:panose1 w:val="00000000000000000000"/>
    <w:charset w:val="00"/>
    <w:family w:val="auto"/>
    <w:pitch w:val="default"/>
    <w:sig w:usb0="00000000" w:usb1="00000000" w:usb2="00000000" w:usb3="00000000" w:csb0="00040001" w:csb1="00000000"/>
  </w:font>
  <w:font w:name="方正仿宋_GBK">
    <w:altName w:val="宋体"/>
    <w:panose1 w:val="03000509000000000000"/>
    <w:charset w:val="00"/>
    <w:family w:val="script"/>
    <w:pitch w:val="default"/>
    <w:sig w:usb0="00000000" w:usb1="00000000" w:usb2="00000010" w:usb3="00000000" w:csb0="003C0041" w:csb1="00000000"/>
  </w:font>
  <w:font w:name="等线 Light">
    <w:altName w:val="宋体"/>
    <w:panose1 w:val="00000000000000000000"/>
    <w:charset w:val="86"/>
    <w:family w:val="auto"/>
    <w:pitch w:val="default"/>
    <w:sig w:usb0="00000000" w:usb1="00000000" w:usb2="00000016" w:usb3="00000000" w:csb0="0004000F" w:csb1="00000000"/>
  </w:font>
  <w:font w:name="??">
    <w:altName w:val="宋体"/>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Baskerville">
    <w:altName w:val="Segoe Print"/>
    <w:panose1 w:val="00000000000000000000"/>
    <w:charset w:val="00"/>
    <w:family w:val="roman"/>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auto"/>
    <w:pitch w:val="default"/>
    <w:sig w:usb0="00000000" w:usb1="00000000" w:usb2="00000000" w:usb3="00000000" w:csb0="20000001" w:csb1="00000000"/>
  </w:font>
  <w:font w:name="Microsoft JhengHei">
    <w:panose1 w:val="020B0604030504040204"/>
    <w:charset w:val="88"/>
    <w:family w:val="swiss"/>
    <w:pitch w:val="default"/>
    <w:sig w:usb0="00000087" w:usb1="28AF4000" w:usb2="00000016" w:usb3="00000000" w:csb0="00100009" w:csb1="00000000"/>
  </w:font>
  <w:font w:name="-apple-system">
    <w:altName w:val="Segoe Print"/>
    <w:panose1 w:val="00000000000000000000"/>
    <w:charset w:val="00"/>
    <w:family w:val="auto"/>
    <w:pitch w:val="default"/>
    <w:sig w:usb0="00000000" w:usb1="00000000" w:usb2="00000000" w:usb3="00000000" w:csb0="00000000" w:csb1="00000000"/>
  </w:font>
  <w:font w:name="华文中宋">
    <w:altName w:val="微软雅黑"/>
    <w:panose1 w:val="02010600040101010101"/>
    <w:charset w:val="00"/>
    <w:family w:val="auto"/>
    <w:pitch w:val="default"/>
    <w:sig w:usb0="00000000" w:usb1="00000000" w:usb2="00000010" w:usb3="00000000" w:csb0="0004009F" w:csb1="00000000"/>
  </w:font>
  <w:font w:name="方正仿宋简体">
    <w:altName w:val="黑体"/>
    <w:panose1 w:val="03000509000000000000"/>
    <w:charset w:val="86"/>
    <w:family w:val="script"/>
    <w:pitch w:val="default"/>
    <w:sig w:usb0="00000000" w:usb1="00000000" w:usb2="00000010" w:usb3="00000000" w:csb0="00040000" w:csb1="00000000"/>
  </w:font>
  <w:font w:name="汉仪综艺体简">
    <w:altName w:val="宋体"/>
    <w:panose1 w:val="02010609000101010101"/>
    <w:charset w:val="86"/>
    <w:family w:val="modern"/>
    <w:pitch w:val="default"/>
    <w:sig w:usb0="00000000" w:usb1="00000000" w:usb2="00000012"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F0502020204030204"/>
    <w:charset w:val="00"/>
    <w:family w:val="auto"/>
    <w:pitch w:val="default"/>
    <w:sig w:usb0="00000000" w:usb1="00000000" w:usb2="00000000" w:usb3="00000000" w:csb0="FFFFFFFF" w:csb1="00000000"/>
  </w:font>
  <w:font w:name="&quot;Hiragino Sans GB&quot;">
    <w:altName w:val="hakuyoxingshu7000"/>
    <w:panose1 w:val="020F0502020204030204"/>
    <w:charset w:val="00"/>
    <w:family w:val="auto"/>
    <w:pitch w:val="default"/>
    <w:sig w:usb0="00000000" w:usb1="00000000" w:usb2="00000000" w:usb3="00000000" w:csb0="FFFFFFFF" w:csb1="00000000"/>
  </w:font>
  <w:font w:name="hakuyoxingshu7000">
    <w:panose1 w:val="02000600000000000000"/>
    <w:charset w:val="86"/>
    <w:family w:val="auto"/>
    <w:pitch w:val="default"/>
    <w:sig w:usb0="FFFFFFFF" w:usb1="E9FFFFFF" w:usb2="0000003F" w:usb3="00000000" w:csb0="603F00FF" w:csb1="FFFF0000"/>
  </w:font>
  <w:font w:name="microsoftyahei bold">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06270"/>
    <w:rsid w:val="0129009C"/>
    <w:rsid w:val="02A1391E"/>
    <w:rsid w:val="0AC92EBB"/>
    <w:rsid w:val="0E50065E"/>
    <w:rsid w:val="10CD61B9"/>
    <w:rsid w:val="14AF11A9"/>
    <w:rsid w:val="153A6899"/>
    <w:rsid w:val="15573FD2"/>
    <w:rsid w:val="15F43A8E"/>
    <w:rsid w:val="16F777E9"/>
    <w:rsid w:val="19143D82"/>
    <w:rsid w:val="192C6316"/>
    <w:rsid w:val="19414E69"/>
    <w:rsid w:val="1BC13657"/>
    <w:rsid w:val="1DD845B1"/>
    <w:rsid w:val="1FA92834"/>
    <w:rsid w:val="25CA73BA"/>
    <w:rsid w:val="265D728B"/>
    <w:rsid w:val="27100342"/>
    <w:rsid w:val="28C43A08"/>
    <w:rsid w:val="2A445477"/>
    <w:rsid w:val="2A64184E"/>
    <w:rsid w:val="31450D02"/>
    <w:rsid w:val="32963399"/>
    <w:rsid w:val="34570313"/>
    <w:rsid w:val="3CE2094A"/>
    <w:rsid w:val="3E9809FF"/>
    <w:rsid w:val="410F4879"/>
    <w:rsid w:val="43C2346A"/>
    <w:rsid w:val="443D7E8C"/>
    <w:rsid w:val="445659ED"/>
    <w:rsid w:val="457B516B"/>
    <w:rsid w:val="461B4FF4"/>
    <w:rsid w:val="480B5F81"/>
    <w:rsid w:val="48106270"/>
    <w:rsid w:val="4F3E1B19"/>
    <w:rsid w:val="5302402E"/>
    <w:rsid w:val="542B4CE4"/>
    <w:rsid w:val="5915176B"/>
    <w:rsid w:val="5F9B1796"/>
    <w:rsid w:val="64BB3CA9"/>
    <w:rsid w:val="6CE11BDB"/>
    <w:rsid w:val="723D0D3E"/>
    <w:rsid w:val="72E250B4"/>
    <w:rsid w:val="73CB47CC"/>
    <w:rsid w:val="784005A7"/>
    <w:rsid w:val="798F33A7"/>
    <w:rsid w:val="79F528F6"/>
    <w:rsid w:val="7B9E1F0A"/>
    <w:rsid w:val="7C787FF0"/>
    <w:rsid w:val="7C8B385F"/>
    <w:rsid w:val="7E4C5DED"/>
    <w:rsid w:val="7ED306F6"/>
    <w:rsid w:val="7F4B0F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jc w:val="both"/>
    </w:pPr>
    <w:rPr>
      <w:rFonts w:ascii="Calibri" w:hAnsi="Calibri" w:eastAsia="宋体" w:cstheme="minorBidi"/>
      <w:w w:val="100"/>
      <w:sz w:val="21"/>
      <w:szCs w:val="21"/>
      <w:shd w:val="clear"/>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2021-01-20T07:19:00Z</dcterms:created>
  <dc:creator>林健</dc:creator>
  <cp:lastModifiedBy>林健</cp:lastModifiedBy>
  <cp:lastPrinted>2021-05-06T08:13:00Z</cp:lastPrinted>
  <dcterms:modified xsi:type="dcterms:W3CDTF">2024-12-05T08:14:43Z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