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69677">
      <w:pPr>
        <w:jc w:val="both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附件</w:t>
      </w:r>
    </w:p>
    <w:p w14:paraId="0FDA8BDE">
      <w:pPr>
        <w:ind w:left="0" w:leftChars="0" w:right="0" w:rightChars="0" w:firstLine="0" w:firstLineChars="0"/>
        <w:jc w:val="center"/>
        <w:rPr>
          <w:rFonts w:hint="default" w:ascii="方正大标宋简体" w:hAnsi="方正大标宋简体" w:eastAsia="方正大标宋简体" w:cs="方正大标宋简体"/>
          <w:spacing w:val="0"/>
          <w:sz w:val="36"/>
          <w:szCs w:val="36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spacing w:val="0"/>
          <w:sz w:val="36"/>
          <w:szCs w:val="36"/>
          <w:lang w:val="en-US" w:eastAsia="zh-CN"/>
        </w:rPr>
        <w:t>福州市2026年度农技推广项目揭榜情况</w:t>
      </w:r>
    </w:p>
    <w:tbl>
      <w:tblPr>
        <w:tblStyle w:val="5"/>
        <w:tblW w:w="1370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975"/>
        <w:gridCol w:w="987"/>
        <w:gridCol w:w="4196"/>
        <w:gridCol w:w="3704"/>
        <w:gridCol w:w="2542"/>
      </w:tblGrid>
      <w:tr w14:paraId="035DA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62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</w:t>
            </w:r>
          </w:p>
          <w:p w14:paraId="79B39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名称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A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类别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5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实施区域</w:t>
            </w:r>
          </w:p>
        </w:tc>
        <w:tc>
          <w:tcPr>
            <w:tcW w:w="4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F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需解决的关键技术问题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4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技术指标</w:t>
            </w:r>
          </w:p>
        </w:tc>
        <w:tc>
          <w:tcPr>
            <w:tcW w:w="25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B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揭榜单位</w:t>
            </w:r>
          </w:p>
        </w:tc>
      </w:tr>
      <w:tr w14:paraId="142B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C6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特优型肉鸡无抗健康养殖技术集成与应用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2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1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闽清县</w:t>
            </w:r>
          </w:p>
        </w:tc>
        <w:tc>
          <w:tcPr>
            <w:tcW w:w="4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76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1.在林地养殖条件下，特优型肉鸡出栏成活率不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trike w:val="0"/>
                <w:dstrike w:val="0"/>
                <w:color w:val="auto"/>
                <w:kern w:val="0"/>
                <w:sz w:val="24"/>
                <w:szCs w:val="24"/>
                <w:u w:val="none"/>
                <w:shd w:val="clear" w:fill="auto"/>
                <w:lang w:val="en-US" w:eastAsia="zh-CN" w:bidi="ar"/>
              </w:rPr>
              <w:t>理想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6C322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需解决问题1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：如何提高特优型肉鸡出栏成活率。</w:t>
            </w:r>
          </w:p>
          <w:p w14:paraId="376E5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2.特优型肉鸡养殖，饲料成本占比约70%，我场中后期养殖单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trike w:val="0"/>
                <w:dstrike w:val="0"/>
                <w:color w:val="auto"/>
                <w:kern w:val="0"/>
                <w:sz w:val="24"/>
                <w:szCs w:val="24"/>
                <w:u w:val="none"/>
                <w:shd w:val="clear" w:fill="auto"/>
                <w:lang w:val="en-US" w:eastAsia="zh-CN" w:bidi="ar"/>
              </w:rPr>
              <w:t>方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饲料转化率不高，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trike w:val="0"/>
                <w:dstrike w:val="0"/>
                <w:color w:val="auto"/>
                <w:kern w:val="0"/>
                <w:sz w:val="24"/>
                <w:szCs w:val="24"/>
                <w:u w:val="none"/>
                <w:shd w:val="clear" w:fill="auto"/>
                <w:lang w:val="en-US" w:eastAsia="zh-CN" w:bidi="ar"/>
              </w:rPr>
              <w:t>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成浪费。</w:t>
            </w:r>
          </w:p>
          <w:p w14:paraId="5394B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需解决问题2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：如何通过科学饲料配方降低料重比，使特优型肉鸡养殖降本增效。</w:t>
            </w:r>
          </w:p>
          <w:p w14:paraId="60E9E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3.特优型肉鸡品质十分关键。</w:t>
            </w:r>
          </w:p>
          <w:p w14:paraId="6B5B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需解决问题3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：如何通过技术措施，使特优型鸡肉产品达到绿色健康安全。</w:t>
            </w:r>
          </w:p>
        </w:tc>
        <w:tc>
          <w:tcPr>
            <w:tcW w:w="3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EA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1.特优型肉鸡存栏量3万羽，年出栏量10万羽，要求出栏成活率达85%以上；</w:t>
            </w:r>
          </w:p>
          <w:p w14:paraId="2440A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2.特优型肉鸡饲料转化率提高10%；</w:t>
            </w:r>
          </w:p>
          <w:p w14:paraId="593B2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3.鸡肉品质达到绿色标准。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D0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福州市农业科学研究所</w:t>
            </w:r>
          </w:p>
        </w:tc>
      </w:tr>
      <w:tr w14:paraId="4325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0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0B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茉莉花高效栽培技术研究与应用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AC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种植业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5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长乐区</w:t>
            </w:r>
          </w:p>
        </w:tc>
        <w:tc>
          <w:tcPr>
            <w:tcW w:w="4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A5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1.水肥协同技术；</w:t>
            </w:r>
          </w:p>
          <w:p w14:paraId="2A3DB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2.花期错峰栽培技术；</w:t>
            </w:r>
          </w:p>
          <w:p w14:paraId="5A267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3.测土配方平衡施肥技术；</w:t>
            </w:r>
          </w:p>
          <w:p w14:paraId="0464B2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4.绿色防控技术。</w:t>
            </w:r>
          </w:p>
        </w:tc>
        <w:tc>
          <w:tcPr>
            <w:tcW w:w="3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E5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1.建立茉莉花高效栽培技术示范基地约100亩；</w:t>
            </w:r>
          </w:p>
          <w:p w14:paraId="79047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2.茉莉花产量增加5%-10%左右，百花重增加6%左右；</w:t>
            </w:r>
          </w:p>
          <w:p w14:paraId="0ABCD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3.农药用量减少5%-10%左右；</w:t>
            </w:r>
          </w:p>
          <w:p w14:paraId="51610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4.在长乐区开展茉莉花高效栽培技术示范，带动收入80多万元；</w:t>
            </w:r>
          </w:p>
          <w:p w14:paraId="2E2B1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5.推广新肥料微生物菌肥1-2种；</w:t>
            </w:r>
          </w:p>
          <w:p w14:paraId="473FD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6.发表论文1-2篇；</w:t>
            </w:r>
          </w:p>
          <w:p w14:paraId="2480E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7.集成茉莉花高效栽培技术一套。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D2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福州市农业科学研究所</w:t>
            </w:r>
          </w:p>
        </w:tc>
      </w:tr>
      <w:tr w14:paraId="5A5C7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7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桔柚高压管道弥雾喷药系统应用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42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种植业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9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闽清县</w:t>
            </w:r>
          </w:p>
        </w:tc>
        <w:tc>
          <w:tcPr>
            <w:tcW w:w="4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82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解决桔柚等柑橘类果树喷药功效低下和喷药劳力缺乏的问题。</w:t>
            </w:r>
          </w:p>
        </w:tc>
        <w:tc>
          <w:tcPr>
            <w:tcW w:w="3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F8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研究桔柚高压管道弥雾喷药系统应用40亩，比传统担架式喷雾机（配可调式喷枪）施药方式提高工效10倍以上、节约用工成本80%以上，培训农技人员120人以上,申报国家专利1项。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8CF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福州市农业科学研究所</w:t>
            </w:r>
          </w:p>
        </w:tc>
      </w:tr>
      <w:tr w14:paraId="147FD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28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设施三叉空心菜优良品种筛选与绿色轻简高效生产技术集成示范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16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新品种新技术推广</w:t>
            </w:r>
            <w:bookmarkStart w:id="0" w:name="_GoBack"/>
            <w:bookmarkEnd w:id="0"/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0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闽侯县、福清市、马尾区</w:t>
            </w:r>
          </w:p>
        </w:tc>
        <w:tc>
          <w:tcPr>
            <w:tcW w:w="4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10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1.征集引进6-10份优良三叉品种开展设施品比筛选，确定最优品种；</w:t>
            </w:r>
          </w:p>
          <w:p w14:paraId="443CB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2.集成"菜稻轮作＋土壤调理"技术，改良连作土壤；</w:t>
            </w:r>
          </w:p>
          <w:p w14:paraId="60A25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3.示范生物农药替代与绿色防控，实现安全稳产；</w:t>
            </w:r>
          </w:p>
          <w:p w14:paraId="2C0C4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4.针对整地、播种、植保环节小型机械作业参数优化，集成示范设施叶菜轻简化栽培。</w:t>
            </w:r>
          </w:p>
        </w:tc>
        <w:tc>
          <w:tcPr>
            <w:tcW w:w="3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8D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1.确定三叉空心菜最优主栽品种1-2个；</w:t>
            </w:r>
          </w:p>
          <w:p w14:paraId="3970D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2.集成复种茬口衔接优化“菜稻轮作＋土壤调理”绿色防控小型机械优化的绿色轻简高效生产技术1项；</w:t>
            </w:r>
          </w:p>
          <w:p w14:paraId="558EC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3.推广应用面积达到200亩以上；</w:t>
            </w:r>
          </w:p>
          <w:p w14:paraId="1216C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4.培训80人次以上，编制发放技术培训手册100份。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97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福州市蔬菜科学研究所</w:t>
            </w:r>
          </w:p>
        </w:tc>
      </w:tr>
      <w:tr w14:paraId="265FE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DF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闽茄15号新品种早春促早栽培技术示范推广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C5C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新品种新技术推广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9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闽侯县、福清市</w:t>
            </w:r>
          </w:p>
        </w:tc>
        <w:tc>
          <w:tcPr>
            <w:tcW w:w="4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8B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通过建立早春促早栽培茄子新品种筛选示范基地，筛选出适合我市早春促早栽培的茄子新品种，建立茄子早春促早栽培技术体系，提升早春茄子品质产量，增加种植户的收入，促进茄子产业的发展。</w:t>
            </w:r>
          </w:p>
        </w:tc>
        <w:tc>
          <w:tcPr>
            <w:tcW w:w="3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25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1.示范推广闽茄15号早春促早栽培技术，亩产量不低于3000公斤；</w:t>
            </w:r>
          </w:p>
          <w:p w14:paraId="6DC2C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2.建立早春茄子新品种筛选示范基地5亩；</w:t>
            </w:r>
          </w:p>
          <w:p w14:paraId="74515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3.总结一套适合福州市茄子早春促早栽培的技术体系；</w:t>
            </w:r>
          </w:p>
          <w:p w14:paraId="5E706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4.通过举办培训班1场，培训种植户50人次以上。</w:t>
            </w:r>
          </w:p>
        </w:tc>
        <w:tc>
          <w:tcPr>
            <w:tcW w:w="2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81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福州市蔬菜科学研究所</w:t>
            </w:r>
          </w:p>
        </w:tc>
      </w:tr>
    </w:tbl>
    <w:p w14:paraId="01279443"/>
    <w:sectPr>
      <w:footerReference r:id="rId3" w:type="default"/>
      <w:pgSz w:w="16838" w:h="11906" w:orient="landscape"/>
      <w:pgMar w:top="1701" w:right="1134" w:bottom="1134" w:left="113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57A7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70AA2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2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2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70AA20">
                    <w:pPr>
                      <w:pStyle w:val="2"/>
                      <w:rPr>
                        <w:rFonts w:hint="eastAsia" w:ascii="宋体" w:hAnsi="宋体" w:eastAsia="宋体" w:cs="宋体"/>
                        <w:sz w:val="2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2"/>
                        <w:szCs w:val="32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2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82316D"/>
    <w:rsid w:val="0093058D"/>
    <w:rsid w:val="017C6910"/>
    <w:rsid w:val="03092087"/>
    <w:rsid w:val="09075E7E"/>
    <w:rsid w:val="0CF85DDF"/>
    <w:rsid w:val="0F3A247F"/>
    <w:rsid w:val="142E75A5"/>
    <w:rsid w:val="15D40BB5"/>
    <w:rsid w:val="16421E79"/>
    <w:rsid w:val="16A61AD7"/>
    <w:rsid w:val="17A518E5"/>
    <w:rsid w:val="1A871D1D"/>
    <w:rsid w:val="1E1B192D"/>
    <w:rsid w:val="25DA2B69"/>
    <w:rsid w:val="27C33BAC"/>
    <w:rsid w:val="29D763F3"/>
    <w:rsid w:val="2BDC75A1"/>
    <w:rsid w:val="2CC94C4A"/>
    <w:rsid w:val="2EC73820"/>
    <w:rsid w:val="2FC26EDA"/>
    <w:rsid w:val="35AE37DD"/>
    <w:rsid w:val="36EC5E75"/>
    <w:rsid w:val="3C5935A3"/>
    <w:rsid w:val="3C612712"/>
    <w:rsid w:val="3EE12CCB"/>
    <w:rsid w:val="40976144"/>
    <w:rsid w:val="45E9304E"/>
    <w:rsid w:val="4C82316D"/>
    <w:rsid w:val="50B336BA"/>
    <w:rsid w:val="5378702D"/>
    <w:rsid w:val="5DDD32A0"/>
    <w:rsid w:val="62EF062B"/>
    <w:rsid w:val="63BB0DF2"/>
    <w:rsid w:val="69F950E1"/>
    <w:rsid w:val="6B0406ED"/>
    <w:rsid w:val="6D63226D"/>
    <w:rsid w:val="7133660C"/>
    <w:rsid w:val="713C47A2"/>
    <w:rsid w:val="72D679F5"/>
    <w:rsid w:val="737731BB"/>
    <w:rsid w:val="74542618"/>
    <w:rsid w:val="76AF647B"/>
    <w:rsid w:val="79BE48DB"/>
    <w:rsid w:val="7BB302F1"/>
    <w:rsid w:val="7CDD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customStyle="1" w:styleId="8">
    <w:name w:val="Table Normal"/>
    <w:basedOn w:val="5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Paragraph"/>
    <w:basedOn w:val="1"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eastAsia" w:ascii="宋体" w:hAnsi="宋体" w:eastAsia="宋体" w:cs="宋体"/>
      <w:snapToGrid/>
      <w:color w:val="000000"/>
      <w:kern w:val="0"/>
      <w:sz w:val="21"/>
      <w:szCs w:val="21"/>
      <w:lang w:val="en-US" w:eastAsia="zh-CN" w:bidi="ar"/>
    </w:rPr>
  </w:style>
  <w:style w:type="paragraph" w:customStyle="1" w:styleId="10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character" w:customStyle="1" w:styleId="11">
    <w:name w:val="font61"/>
    <w:basedOn w:val="7"/>
    <w:qFormat/>
    <w:uiPriority w:val="0"/>
    <w:rPr>
      <w:rFonts w:hint="eastAsia" w:ascii="仿宋" w:hAnsi="仿宋" w:eastAsia="仿宋" w:cs="仿宋"/>
      <w:b/>
      <w:bCs/>
      <w:color w:val="000000"/>
      <w:sz w:val="30"/>
      <w:szCs w:val="3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01"/>
    <w:basedOn w:val="7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4">
    <w:name w:val="font31"/>
    <w:basedOn w:val="7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5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51"/>
    <w:basedOn w:val="7"/>
    <w:qFormat/>
    <w:uiPriority w:val="0"/>
    <w:rPr>
      <w:rFonts w:hint="eastAsia" w:ascii="宋体" w:hAnsi="宋体" w:eastAsia="宋体" w:cs="宋体"/>
      <w:color w:val="000000"/>
      <w:sz w:val="19"/>
      <w:szCs w:val="19"/>
      <w:u w:val="none"/>
    </w:rPr>
  </w:style>
  <w:style w:type="character" w:customStyle="1" w:styleId="17">
    <w:name w:val="font71"/>
    <w:basedOn w:val="7"/>
    <w:qFormat/>
    <w:uiPriority w:val="0"/>
    <w:rPr>
      <w:rFonts w:ascii="Segoe UI" w:hAnsi="Segoe UI" w:eastAsia="Segoe UI" w:cs="Segoe UI"/>
      <w:color w:val="000000"/>
      <w:sz w:val="19"/>
      <w:szCs w:val="19"/>
      <w:u w:val="none"/>
    </w:rPr>
  </w:style>
  <w:style w:type="character" w:customStyle="1" w:styleId="18">
    <w:name w:val="font8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1121</Words>
  <Characters>1200</Characters>
  <Lines>1</Lines>
  <Paragraphs>1</Paragraphs>
  <TotalTime>1</TotalTime>
  <ScaleCrop>false</ScaleCrop>
  <LinksUpToDate>false</LinksUpToDate>
  <CharactersWithSpaces>1200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2025-09-18T02:58:00Z</dcterms:created>
  <dc:creator>HELLO 你好</dc:creator>
  <cp:lastModifiedBy>Xiangyu Zhu</cp:lastModifiedBy>
  <dcterms:modified xsi:type="dcterms:W3CDTF">2026-09-16T07:59:23Z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823F788D0DF648A19B172AF26AA8ACE9_11</vt:lpwstr>
  </property>
  <property fmtid="{D5CDD505-2E9C-101B-9397-08002B2CF9AE}" pid="4" name="KSOTemplateDocerSaveRecord">
    <vt:lpwstr>eyJoZGlkIjoiN2JiZmQ2ZWQzODliMWIxY2FmYzNhY2Q5ZTg4YThmMmMiLCJ1c2VySWQiOiIyNjI0NzcwMjUifQ==</vt:lpwstr>
  </property>
  <property fmtid="{D5CDD505-2E9C-101B-9397-08002B2CF9AE}" pid="5" name="OfficeAIDocId">
    <vt:lpwstr>DOC_1dbef048d7fd48f2a524c44db660df7b</vt:lpwstr>
  </property>
</Properties>
</file>