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="0" w:afterAutospacing="0" w:line="500" w:lineRule="exact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附件：</w:t>
      </w:r>
      <w:bookmarkStart w:id="0" w:name="_GoBack"/>
      <w:bookmarkEnd w:id="0"/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="0" w:afterAutospacing="0" w:line="50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="0" w:afterAutospacing="0" w:line="500" w:lineRule="exact"/>
        <w:jc w:val="center"/>
        <w:textAlignment w:val="auto"/>
        <w:rPr>
          <w:rFonts w:hint="default" w:ascii="方正小标宋_GBK" w:hAnsi="方正小标宋_GBK" w:eastAsia="方正小标宋_GBK" w:cs="方正小标宋_GBK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福州市农业农村局2024年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="0" w:afterAutospacing="0" w:line="50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安全生产和消防工作权责清单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="0" w:afterAutospacing="0" w:line="50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</w:pPr>
    </w:p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64"/>
        <w:gridCol w:w="783"/>
        <w:gridCol w:w="3583"/>
        <w:gridCol w:w="1234"/>
        <w:gridCol w:w="1033"/>
        <w:gridCol w:w="112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90" w:hRule="atLeast"/>
        </w:trPr>
        <w:tc>
          <w:tcPr>
            <w:tcW w:w="764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="0" w:afterAutospacing="0" w:line="400" w:lineRule="exact"/>
              <w:jc w:val="center"/>
              <w:rPr>
                <w:rFonts w:hint="eastAsia" w:ascii="仿宋_GB2312" w:hAnsi="仿宋_GB2312" w:eastAsia="仿宋_GB2312" w:cs="仿宋_GB231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vertAlign w:val="baseline"/>
                <w:lang w:val="en-US" w:eastAsia="zh-CN"/>
              </w:rPr>
              <w:t>序号</w:t>
            </w:r>
          </w:p>
        </w:tc>
        <w:tc>
          <w:tcPr>
            <w:tcW w:w="783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="0" w:afterAutospacing="0" w:line="400" w:lineRule="exact"/>
              <w:jc w:val="center"/>
              <w:rPr>
                <w:rFonts w:hint="eastAsia" w:ascii="仿宋_GB2312" w:hAnsi="仿宋_GB2312" w:eastAsia="仿宋_GB2312" w:cs="仿宋_GB231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vertAlign w:val="baseline"/>
                <w:lang w:val="en-US" w:eastAsia="zh-CN"/>
              </w:rPr>
              <w:t>权责事项</w:t>
            </w:r>
          </w:p>
        </w:tc>
        <w:tc>
          <w:tcPr>
            <w:tcW w:w="3583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="0" w:afterAutospacing="0" w:line="400" w:lineRule="exact"/>
              <w:jc w:val="center"/>
              <w:rPr>
                <w:rFonts w:hint="eastAsia" w:ascii="仿宋_GB2312" w:hAnsi="仿宋_GB2312" w:eastAsia="仿宋_GB2312" w:cs="仿宋_GB231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vertAlign w:val="baseline"/>
                <w:lang w:val="en-US" w:eastAsia="zh-CN"/>
              </w:rPr>
              <w:t>依据</w:t>
            </w:r>
          </w:p>
        </w:tc>
        <w:tc>
          <w:tcPr>
            <w:tcW w:w="1234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="0" w:afterAutospacing="0" w:line="400" w:lineRule="exact"/>
              <w:jc w:val="center"/>
              <w:rPr>
                <w:rFonts w:hint="eastAsia" w:ascii="仿宋_GB2312" w:hAnsi="仿宋_GB2312" w:eastAsia="仿宋_GB2312" w:cs="仿宋_GB231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vertAlign w:val="baseline"/>
                <w:lang w:val="en-US" w:eastAsia="zh-CN"/>
              </w:rPr>
              <w:t>工作职责</w:t>
            </w:r>
          </w:p>
        </w:tc>
        <w:tc>
          <w:tcPr>
            <w:tcW w:w="1033" w:type="dxa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400" w:lineRule="exact"/>
              <w:ind w:left="0" w:right="0" w:firstLine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333333"/>
                <w:spacing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</w:rPr>
              <w:t>与相关部门的职责边界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="0" w:afterAutospacing="0" w:line="400" w:lineRule="exact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125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="0" w:afterAutospacing="0" w:line="400" w:lineRule="exact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</w:rPr>
              <w:t>不履职或履职不到位责任情形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64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="0" w:afterAutospacing="0" w:line="40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vertAlign w:val="baseline"/>
                <w:lang w:val="en-US" w:eastAsia="zh-CN"/>
              </w:rPr>
              <w:t>1</w:t>
            </w:r>
          </w:p>
        </w:tc>
        <w:tc>
          <w:tcPr>
            <w:tcW w:w="783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="0" w:afterAutospacing="0" w:line="400" w:lineRule="exact"/>
              <w:jc w:val="both"/>
              <w:rPr>
                <w:rFonts w:hint="eastAsia" w:ascii="仿宋_GB2312" w:hAnsi="仿宋_GB2312" w:eastAsia="仿宋_GB2312" w:cs="仿宋_GB2312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0"/>
                <w:szCs w:val="20"/>
                <w:shd w:val="clear" w:fill="FFFFFF"/>
              </w:rPr>
              <w:t>农业行业安全生产监督管理</w:t>
            </w:r>
          </w:p>
        </w:tc>
        <w:tc>
          <w:tcPr>
            <w:tcW w:w="3583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="0" w:afterAutospacing="0" w:line="400" w:lineRule="exact"/>
              <w:jc w:val="both"/>
              <w:rPr>
                <w:rFonts w:hint="eastAsia" w:ascii="仿宋_GB2312" w:hAnsi="仿宋_GB2312" w:eastAsia="仿宋_GB2312" w:cs="仿宋_GB2312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0"/>
                <w:szCs w:val="20"/>
                <w:shd w:val="clear" w:fill="FFFFFF"/>
              </w:rPr>
              <w:t>1.《中华人民共和国安全生产法》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0"/>
                <w:szCs w:val="20"/>
                <w:shd w:val="clear" w:fill="FFFFFF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0"/>
                <w:szCs w:val="20"/>
                <w:shd w:val="clear" w:fill="FFFFFF"/>
              </w:rPr>
              <w:t>2.《中华人民共和国农业法》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0"/>
                <w:szCs w:val="20"/>
                <w:shd w:val="clear" w:fill="FFFFFF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0"/>
                <w:szCs w:val="20"/>
                <w:shd w:val="clear" w:fill="FFFFFF"/>
              </w:rPr>
              <w:t>3.《农药管理条例》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0"/>
                <w:szCs w:val="20"/>
                <w:shd w:val="clear" w:fill="FFFFFF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0"/>
                <w:szCs w:val="20"/>
                <w:shd w:val="clear" w:fill="FFFFFF"/>
              </w:rPr>
              <w:t xml:space="preserve">4.《生猪屠宰管理条例》 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0"/>
                <w:szCs w:val="20"/>
                <w:shd w:val="clear" w:fill="FFFFFF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0"/>
                <w:szCs w:val="20"/>
                <w:shd w:val="clear" w:fill="FFFFFF"/>
              </w:rPr>
              <w:t>5. 《饲料和饲料添加剂管理条例》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0"/>
                <w:szCs w:val="20"/>
                <w:shd w:val="clear" w:fill="FFFFFF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0"/>
                <w:szCs w:val="20"/>
                <w:shd w:val="clear" w:fill="FFFFFF"/>
              </w:rPr>
              <w:t>6.《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0"/>
                <w:szCs w:val="20"/>
                <w:shd w:val="clear" w:fill="FFFFFF"/>
                <w:lang w:eastAsia="zh-CN"/>
              </w:rPr>
              <w:t>福建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0"/>
                <w:szCs w:val="20"/>
                <w:shd w:val="clear" w:fill="FFFFFF"/>
              </w:rPr>
              <w:t>省安全生产条例》</w:t>
            </w:r>
          </w:p>
        </w:tc>
        <w:tc>
          <w:tcPr>
            <w:tcW w:w="1234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="0" w:afterAutospacing="0" w:line="400" w:lineRule="exact"/>
              <w:jc w:val="both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0"/>
                <w:szCs w:val="20"/>
                <w:shd w:val="clear" w:fill="FFFFFF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0"/>
                <w:szCs w:val="20"/>
                <w:shd w:val="clear" w:fill="FFFFFF"/>
              </w:rPr>
              <w:t>1.负责指导、协调农业行业安全生产工作,拟订农业行业安全生产政策、规划和应急预案并监督实施。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0"/>
                <w:szCs w:val="20"/>
                <w:shd w:val="clear" w:fill="FFFFFF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0"/>
                <w:szCs w:val="20"/>
                <w:shd w:val="clear" w:fill="FFFFFF"/>
              </w:rPr>
              <w:t>2.负责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0"/>
                <w:szCs w:val="20"/>
                <w:shd w:val="clear" w:fill="FFFFFF"/>
                <w:lang w:eastAsia="zh-CN"/>
              </w:rPr>
              <w:t>农机、饲料、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0"/>
                <w:szCs w:val="20"/>
                <w:shd w:val="clear" w:fill="FFFFFF"/>
              </w:rPr>
              <w:t>农药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0"/>
                <w:szCs w:val="20"/>
                <w:shd w:val="clear" w:fill="FFFFFF"/>
                <w:lang w:eastAsia="zh-CN"/>
              </w:rPr>
              <w:t>、沼气、屠宰、农事休闲等涉农行业领域的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0"/>
                <w:szCs w:val="20"/>
                <w:shd w:val="clear" w:fill="FFFFFF"/>
              </w:rPr>
              <w:t>监督管理工作。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0"/>
                <w:szCs w:val="20"/>
                <w:shd w:val="clear" w:fill="FFFFFF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0"/>
                <w:szCs w:val="20"/>
                <w:shd w:val="clear" w:fill="FFFFFF"/>
              </w:rPr>
              <w:t>3.指导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0"/>
                <w:szCs w:val="20"/>
                <w:shd w:val="clear" w:fill="FFFFFF"/>
                <w:lang w:eastAsia="zh-CN"/>
              </w:rPr>
              <w:t>涉农经营主体履行安全生产职责，做好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0"/>
                <w:szCs w:val="20"/>
                <w:shd w:val="clear" w:fill="FFFFFF"/>
              </w:rPr>
              <w:t>安全生产工作。</w:t>
            </w:r>
          </w:p>
        </w:tc>
        <w:tc>
          <w:tcPr>
            <w:tcW w:w="1033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="0" w:afterAutospacing="0" w:line="400" w:lineRule="exact"/>
              <w:jc w:val="both"/>
              <w:rPr>
                <w:rFonts w:hint="eastAsia" w:ascii="仿宋_GB2312" w:hAnsi="仿宋_GB2312" w:eastAsia="仿宋_GB2312" w:cs="仿宋_GB2312"/>
                <w:sz w:val="20"/>
                <w:szCs w:val="20"/>
                <w:vertAlign w:val="baseline"/>
                <w:lang w:val="en-US" w:eastAsia="zh-CN"/>
              </w:rPr>
            </w:pPr>
          </w:p>
        </w:tc>
        <w:tc>
          <w:tcPr>
            <w:tcW w:w="1125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="0" w:afterAutospacing="0" w:line="400" w:lineRule="exact"/>
              <w:jc w:val="both"/>
              <w:rPr>
                <w:rFonts w:hint="eastAsia" w:ascii="仿宋_GB2312" w:hAnsi="仿宋_GB2312" w:eastAsia="仿宋_GB2312" w:cs="仿宋_GB2312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0"/>
                <w:szCs w:val="20"/>
                <w:shd w:val="clear" w:fill="FFFFFF"/>
              </w:rPr>
              <w:t>1.未按规定履行安全生产监管职责，相关工作部署缺位，指导协调不力的。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0"/>
                <w:szCs w:val="20"/>
                <w:shd w:val="clear" w:fill="FFFFFF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0"/>
                <w:szCs w:val="20"/>
                <w:shd w:val="clear" w:fill="FFFFFF"/>
              </w:rPr>
              <w:t>2.其他滥用职权、玩忽职守、徇私舞弊的。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64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="0" w:afterAutospacing="0" w:line="40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vertAlign w:val="baseline"/>
                <w:lang w:val="en-US" w:eastAsia="zh-CN"/>
              </w:rPr>
              <w:t>2</w:t>
            </w:r>
          </w:p>
        </w:tc>
        <w:tc>
          <w:tcPr>
            <w:tcW w:w="783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="0" w:afterAutospacing="0" w:line="400" w:lineRule="exact"/>
              <w:jc w:val="both"/>
              <w:rPr>
                <w:rFonts w:hint="eastAsia" w:ascii="仿宋_GB2312" w:hAnsi="仿宋_GB2312" w:eastAsia="仿宋_GB2312" w:cs="仿宋_GB2312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333333"/>
                <w:spacing w:val="0"/>
                <w:sz w:val="20"/>
                <w:szCs w:val="20"/>
                <w:shd w:val="clear" w:fill="FFFFFF"/>
              </w:rPr>
              <w:t>农业机械安全监督管理</w:t>
            </w:r>
          </w:p>
        </w:tc>
        <w:tc>
          <w:tcPr>
            <w:tcW w:w="3583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="0" w:afterAutospacing="0" w:line="400" w:lineRule="exact"/>
              <w:jc w:val="both"/>
              <w:rPr>
                <w:rFonts w:hint="eastAsia" w:ascii="仿宋_GB2312" w:hAnsi="仿宋_GB2312" w:eastAsia="仿宋_GB2312" w:cs="仿宋_GB2312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0"/>
                <w:szCs w:val="20"/>
                <w:shd w:val="clear" w:fill="FFFFFF"/>
              </w:rPr>
              <w:t>1.《中华人民共和国安全生产法》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0"/>
                <w:szCs w:val="20"/>
                <w:shd w:val="clear" w:fill="FFFFFF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0"/>
                <w:szCs w:val="20"/>
                <w:shd w:val="clear" w:fill="FFFFFF"/>
              </w:rPr>
              <w:t>2.《中华人民共和国农业法》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0"/>
                <w:szCs w:val="20"/>
                <w:shd w:val="clear" w:fill="FFFFFF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0"/>
                <w:szCs w:val="20"/>
                <w:shd w:val="clear" w:fill="FFFFFF"/>
              </w:rPr>
              <w:t>3.《中华人民共和国道路交通安全法》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0"/>
                <w:szCs w:val="20"/>
                <w:shd w:val="clear" w:fill="FFFFFF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0"/>
                <w:szCs w:val="20"/>
                <w:shd w:val="clear" w:fill="FFFFFF"/>
              </w:rPr>
              <w:t>4.《中华人民共和国农业机械化促进法》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0"/>
                <w:szCs w:val="20"/>
                <w:shd w:val="clear" w:fill="FFFFFF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0"/>
                <w:szCs w:val="20"/>
                <w:shd w:val="clear" w:fill="FFFFFF"/>
              </w:rPr>
              <w:t>5.《农业机械安全监督管理条例》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0"/>
                <w:szCs w:val="20"/>
                <w:shd w:val="clear" w:fill="FFFFFF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0"/>
                <w:szCs w:val="20"/>
                <w:shd w:val="clear" w:fill="FFFFFF"/>
              </w:rPr>
              <w:t>6.《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0"/>
                <w:szCs w:val="20"/>
                <w:shd w:val="clear" w:fill="FFFFFF"/>
                <w:lang w:eastAsia="zh-CN"/>
              </w:rPr>
              <w:t>福建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0"/>
                <w:szCs w:val="20"/>
                <w:shd w:val="clear" w:fill="FFFFFF"/>
              </w:rPr>
              <w:t>省安全生产条例》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0"/>
                <w:szCs w:val="20"/>
                <w:shd w:val="clear" w:fill="FFFFFF"/>
              </w:rPr>
              <w:br w:type="textWrapping"/>
            </w:r>
          </w:p>
        </w:tc>
        <w:tc>
          <w:tcPr>
            <w:tcW w:w="1234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="0" w:afterAutospacing="0" w:line="400" w:lineRule="exact"/>
              <w:jc w:val="both"/>
              <w:rPr>
                <w:rFonts w:hint="eastAsia" w:ascii="仿宋_GB2312" w:hAnsi="仿宋_GB2312" w:eastAsia="仿宋_GB2312" w:cs="仿宋_GB2312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333333"/>
                <w:spacing w:val="0"/>
                <w:sz w:val="20"/>
                <w:szCs w:val="20"/>
                <w:shd w:val="clear" w:fill="FFFFFF"/>
              </w:rPr>
              <w:t>1.负责农业机械安全生产监督管理，指导监督农机使用者贯彻执行安全生产法律法规标准，依法查处违反农机安全生产的非法违法行为。</w:t>
            </w:r>
          </w:p>
        </w:tc>
        <w:tc>
          <w:tcPr>
            <w:tcW w:w="1033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="0" w:afterAutospacing="0" w:line="400" w:lineRule="exact"/>
              <w:jc w:val="both"/>
              <w:rPr>
                <w:rFonts w:hint="eastAsia" w:ascii="仿宋_GB2312" w:hAnsi="仿宋_GB2312" w:eastAsia="仿宋_GB2312" w:cs="仿宋_GB2312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333333"/>
                <w:spacing w:val="0"/>
                <w:sz w:val="20"/>
                <w:szCs w:val="20"/>
                <w:shd w:val="clear" w:fill="FFFFFF"/>
              </w:rPr>
              <w:t>农业农村主管部门负责拖拉机、联合收割机注册登记和安全生产检查；公安、交通运输部门负责拖拉机、联合收割机上道路行驶的安全检查。</w:t>
            </w:r>
          </w:p>
        </w:tc>
        <w:tc>
          <w:tcPr>
            <w:tcW w:w="1125" w:type="dxa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400" w:lineRule="exact"/>
              <w:ind w:left="0" w:right="0" w:firstLine="0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333333"/>
                <w:spacing w:val="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333333"/>
                <w:spacing w:val="0"/>
                <w:sz w:val="20"/>
                <w:szCs w:val="20"/>
                <w:shd w:val="clear" w:fill="FFFFFF"/>
              </w:rPr>
              <w:t>1.未依法对拖拉机联合收割机实施安全检验、登记和核发证书牌照的。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400" w:lineRule="exact"/>
              <w:ind w:left="0" w:right="0" w:firstLine="0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333333"/>
                <w:spacing w:val="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333333"/>
                <w:spacing w:val="0"/>
                <w:sz w:val="20"/>
                <w:szCs w:val="20"/>
                <w:shd w:val="clear" w:fill="FFFFFF"/>
              </w:rPr>
              <w:t>2.未依法处理农机事故的或不出具农机事故认定书和其他证明材料的。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="0" w:afterAutospacing="0" w:line="400" w:lineRule="exact"/>
              <w:jc w:val="both"/>
              <w:rPr>
                <w:rFonts w:hint="eastAsia" w:ascii="仿宋_GB2312" w:hAnsi="仿宋_GB2312" w:eastAsia="仿宋_GB2312" w:cs="仿宋_GB2312"/>
                <w:sz w:val="20"/>
                <w:szCs w:val="2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64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="0" w:afterAutospacing="0" w:line="40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vertAlign w:val="baseline"/>
                <w:lang w:val="en-US" w:eastAsia="zh-CN"/>
              </w:rPr>
              <w:t>3</w:t>
            </w:r>
          </w:p>
        </w:tc>
        <w:tc>
          <w:tcPr>
            <w:tcW w:w="783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="0" w:afterAutospacing="0" w:line="400" w:lineRule="exact"/>
              <w:jc w:val="both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333333"/>
                <w:spacing w:val="0"/>
                <w:sz w:val="20"/>
                <w:szCs w:val="20"/>
                <w:shd w:val="clear" w:fill="FFFFFF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0"/>
                <w:szCs w:val="20"/>
                <w:shd w:val="clear" w:fill="FFFFFF"/>
              </w:rPr>
              <w:t>农业行业消防监督管理</w:t>
            </w:r>
          </w:p>
        </w:tc>
        <w:tc>
          <w:tcPr>
            <w:tcW w:w="3583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="0" w:afterAutospacing="0" w:line="400" w:lineRule="exact"/>
              <w:jc w:val="both"/>
              <w:rPr>
                <w:rFonts w:hint="eastAsia" w:ascii="仿宋_GB2312" w:hAnsi="仿宋_GB2312" w:eastAsia="仿宋_GB2312" w:cs="仿宋_GB2312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0"/>
                <w:szCs w:val="20"/>
                <w:shd w:val="clear" w:fill="FFFFFF"/>
              </w:rPr>
              <w:t>1.《中华人民共和国消防法》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0"/>
                <w:szCs w:val="20"/>
                <w:shd w:val="clear" w:fill="FFFFFF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0"/>
                <w:szCs w:val="20"/>
                <w:shd w:val="clear" w:fill="FFFFFF"/>
              </w:rPr>
              <w:t>2.《中华人民共和国安全生产法》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0"/>
                <w:szCs w:val="20"/>
                <w:shd w:val="clear" w:fill="FFFFFF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0"/>
                <w:szCs w:val="20"/>
                <w:shd w:val="clear" w:fill="FFFFFF"/>
              </w:rPr>
              <w:t>3.《消防安全责任制实施办法》</w:t>
            </w:r>
          </w:p>
        </w:tc>
        <w:tc>
          <w:tcPr>
            <w:tcW w:w="1234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="0" w:afterAutospacing="0" w:line="400" w:lineRule="exact"/>
              <w:jc w:val="both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333333"/>
                <w:spacing w:val="0"/>
                <w:sz w:val="20"/>
                <w:szCs w:val="20"/>
                <w:shd w:val="clear" w:fill="FFFFFF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0"/>
                <w:szCs w:val="20"/>
                <w:shd w:val="clear" w:fill="FFFFFF"/>
              </w:rPr>
              <w:t>1.全面落实消防安全主体责任。做好单位自身消防安全工作，做到安全自查、隐患自除、责任自负。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0"/>
                <w:szCs w:val="20"/>
                <w:shd w:val="clear" w:fill="FFFFFF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0"/>
                <w:szCs w:val="20"/>
                <w:shd w:val="clear" w:fill="FFFFFF"/>
              </w:rPr>
              <w:t>2.依法落实本部门消防工作职责。按照谁主管、谁负责的原则，在职责范围内按照下列规定履行农业行业系统（如农业生产以及兽药、饲料生产企业）消防安全管理职责。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0"/>
                <w:szCs w:val="20"/>
                <w:shd w:val="clear" w:fill="FFFFFF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0"/>
                <w:szCs w:val="20"/>
                <w:shd w:val="clear" w:fill="FFFFFF"/>
              </w:rPr>
              <w:t>3.其他消防工作任务。按照市政府、市消防安全委员会工作部署，依法开展消防安全领域专项治理，贯彻落实年度消防工作责任清单。</w:t>
            </w:r>
          </w:p>
        </w:tc>
        <w:tc>
          <w:tcPr>
            <w:tcW w:w="1033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="0" w:afterAutospacing="0" w:line="400" w:lineRule="exact"/>
              <w:jc w:val="both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333333"/>
                <w:spacing w:val="0"/>
                <w:sz w:val="20"/>
                <w:szCs w:val="20"/>
                <w:shd w:val="clear" w:fill="FFFFFF"/>
              </w:rPr>
            </w:pPr>
          </w:p>
        </w:tc>
        <w:tc>
          <w:tcPr>
            <w:tcW w:w="1125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="0" w:afterAutospacing="0" w:line="400" w:lineRule="exact"/>
              <w:jc w:val="both"/>
              <w:rPr>
                <w:rFonts w:hint="eastAsia" w:ascii="仿宋_GB2312" w:hAnsi="仿宋_GB2312" w:eastAsia="仿宋_GB2312" w:cs="仿宋_GB2312"/>
                <w:sz w:val="20"/>
                <w:szCs w:val="20"/>
                <w:vertAlign w:val="baseline"/>
                <w:lang w:val="en-US" w:eastAsia="zh-CN"/>
              </w:rPr>
            </w:pPr>
          </w:p>
        </w:tc>
      </w:tr>
    </w:tbl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="0" w:afterAutospacing="0" w:line="400" w:lineRule="exact"/>
        <w:rPr>
          <w:rFonts w:hint="eastAsia" w:ascii="仿宋_GB2312" w:hAnsi="仿宋_GB2312" w:eastAsia="仿宋_GB2312" w:cs="仿宋_GB2312"/>
          <w:sz w:val="20"/>
          <w:szCs w:val="20"/>
          <w:lang w:val="en-US" w:eastAsia="zh-CN"/>
        </w:rPr>
      </w:pPr>
    </w:p>
    <w:sectPr>
      <w:pgSz w:w="11906" w:h="16838"/>
      <w:pgMar w:top="1440" w:right="1800" w:bottom="1440" w:left="1800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宋体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方正小标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bordersDoNotSurroundHeader w:val="0"/>
  <w:bordersDoNotSurroundFooter w:val="0"/>
  <w:documentProtection w:enforcement="0"/>
  <w:defaultTabStop w:val="720"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endnotePr>
    <w:endnote w:id="0"/>
    <w:endnote w:id="1"/>
  </w:endnotePr>
  <w:compat>
    <w:doNotExpandShiftReturn/>
    <w:doNotWrapTextWithPunct/>
    <w:doNotUseEastAsianBreakRules/>
    <w:useFELayout/>
    <w:doNotUseIndentAsNumberingTabStop/>
    <w:compatSetting w:name="compatibilityMode" w:uri="http://schemas.microsoft.com/office/word" w:val="12"/>
  </w:compat>
  <w:rsids>
    <w:rsidRoot w:val="00D31D50"/>
    <w:rsid w:val="00323B43"/>
    <w:rsid w:val="003D37D8"/>
    <w:rsid w:val="00426133"/>
    <w:rsid w:val="004358AB"/>
    <w:rsid w:val="008B7726"/>
    <w:rsid w:val="00D31D50"/>
    <w:rsid w:val="0D701F58"/>
    <w:rsid w:val="2936586D"/>
    <w:rsid w:val="2FE508A3"/>
    <w:rsid w:val="71DA1237"/>
    <w:rsid w:val="7C5B1C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qFormat="1"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 w:line="240" w:lineRule="auto"/>
    </w:pPr>
    <w:rPr>
      <w:rFonts w:ascii="Tahoma" w:hAnsi="Tahoma" w:eastAsia="微软雅黑" w:cstheme="minorBidi"/>
      <w:sz w:val="22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semiHidden/>
    <w:unhideWhenUsed/>
    <w:qFormat/>
    <w:uiPriority w:val="99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4">
    <w:name w:val="Table Grid"/>
    <w:basedOn w:val="3"/>
    <w:qFormat/>
    <w:uiPriority w:val="5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6">
    <w:name w:val="FollowedHyperlink"/>
    <w:basedOn w:val="5"/>
    <w:semiHidden/>
    <w:unhideWhenUsed/>
    <w:qFormat/>
    <w:uiPriority w:val="99"/>
    <w:rPr>
      <w:color w:val="333333"/>
      <w:u w:val="none"/>
    </w:rPr>
  </w:style>
  <w:style w:type="character" w:styleId="7">
    <w:name w:val="Emphasis"/>
    <w:basedOn w:val="5"/>
    <w:qFormat/>
    <w:uiPriority w:val="20"/>
  </w:style>
  <w:style w:type="character" w:styleId="8">
    <w:name w:val="Hyperlink"/>
    <w:basedOn w:val="5"/>
    <w:semiHidden/>
    <w:unhideWhenUsed/>
    <w:qFormat/>
    <w:uiPriority w:val="99"/>
    <w:rPr>
      <w:color w:val="333333"/>
      <w:u w:val="none"/>
      <w:shd w:val="clear" w:fill="FFFFFF"/>
    </w:rPr>
  </w:style>
  <w:style w:type="character" w:customStyle="1" w:styleId="9">
    <w:name w:val="after8"/>
    <w:basedOn w:val="5"/>
    <w:qFormat/>
    <w:uiPriority w:val="0"/>
    <w:rPr>
      <w:shd w:val="clear" w:fill="1658A0"/>
    </w:rPr>
  </w:style>
  <w:style w:type="character" w:customStyle="1" w:styleId="10">
    <w:name w:val="after9"/>
    <w:basedOn w:val="5"/>
    <w:qFormat/>
    <w:uiPriority w:val="0"/>
    <w:rPr>
      <w:shd w:val="clear" w:fill="CC0000"/>
    </w:rPr>
  </w:style>
  <w:style w:type="character" w:customStyle="1" w:styleId="11">
    <w:name w:val="after10"/>
    <w:basedOn w:val="5"/>
    <w:qFormat/>
    <w:uiPriority w:val="0"/>
    <w:rPr>
      <w:shd w:val="clear" w:fill="DE0000"/>
    </w:rPr>
  </w:style>
  <w:style w:type="character" w:customStyle="1" w:styleId="12">
    <w:name w:val="slb-rig03"/>
    <w:basedOn w:val="5"/>
    <w:qFormat/>
    <w:uiPriority w:val="0"/>
  </w:style>
  <w:style w:type="character" w:customStyle="1" w:styleId="13">
    <w:name w:val="slb-rig031"/>
    <w:basedOn w:val="5"/>
    <w:qFormat/>
    <w:uiPriority w:val="0"/>
  </w:style>
  <w:style w:type="character" w:customStyle="1" w:styleId="14">
    <w:name w:val="slb-rig06"/>
    <w:basedOn w:val="5"/>
    <w:qFormat/>
    <w:uiPriority w:val="0"/>
  </w:style>
  <w:style w:type="character" w:customStyle="1" w:styleId="15">
    <w:name w:val="fy_go10"/>
    <w:basedOn w:val="5"/>
    <w:qFormat/>
    <w:uiPriority w:val="0"/>
    <w:rPr>
      <w:color w:val="555555"/>
      <w:bdr w:val="single" w:color="D9D9D9" w:sz="6" w:space="0"/>
      <w:shd w:val="clear" w:fill="FFFFFF"/>
    </w:rPr>
  </w:style>
  <w:style w:type="character" w:customStyle="1" w:styleId="16">
    <w:name w:val="slb-rig05"/>
    <w:basedOn w:val="5"/>
    <w:qFormat/>
    <w:uiPriority w:val="0"/>
  </w:style>
  <w:style w:type="character" w:customStyle="1" w:styleId="17">
    <w:name w:val="last-child"/>
    <w:basedOn w:val="5"/>
    <w:qFormat/>
    <w:uiPriority w:val="0"/>
  </w:style>
  <w:style w:type="character" w:customStyle="1" w:styleId="18">
    <w:name w:val="last-child1"/>
    <w:basedOn w:val="5"/>
    <w:qFormat/>
    <w:uiPriority w:val="0"/>
  </w:style>
  <w:style w:type="character" w:customStyle="1" w:styleId="19">
    <w:name w:val="last-child2"/>
    <w:basedOn w:val="5"/>
    <w:qFormat/>
    <w:uiPriority w:val="0"/>
    <w:rPr>
      <w:color w:val="C9C9C9"/>
    </w:rPr>
  </w:style>
  <w:style w:type="character" w:customStyle="1" w:styleId="20">
    <w:name w:val="slb-rig02"/>
    <w:basedOn w:val="5"/>
    <w:qFormat/>
    <w:uiPriority w:val="0"/>
  </w:style>
  <w:style w:type="character" w:customStyle="1" w:styleId="21">
    <w:name w:val="slb-rig04"/>
    <w:basedOn w:val="5"/>
    <w:qFormat/>
    <w:uiPriority w:val="0"/>
  </w:style>
  <w:style w:type="character" w:customStyle="1" w:styleId="22">
    <w:name w:val="slb-rig01"/>
    <w:basedOn w:val="5"/>
    <w:qFormat/>
    <w:uiPriority w:val="0"/>
  </w:style>
  <w:style w:type="character" w:customStyle="1" w:styleId="23">
    <w:name w:val="slb-rig011"/>
    <w:basedOn w:val="5"/>
    <w:qFormat/>
    <w:uiPriority w:val="0"/>
  </w:style>
  <w:style w:type="character" w:customStyle="1" w:styleId="24">
    <w:name w:val="scroll_top"/>
    <w:basedOn w:val="5"/>
    <w:qFormat/>
    <w:uiPriority w:val="0"/>
    <w:rPr>
      <w:shd w:val="clear" w:fill="FFFFFF"/>
    </w:rPr>
  </w:style>
  <w:style w:type="character" w:customStyle="1" w:styleId="25">
    <w:name w:val="on"/>
    <w:basedOn w:val="5"/>
    <w:qFormat/>
    <w:uiPriority w:val="0"/>
    <w:rPr>
      <w:color w:val="FFFFFF"/>
      <w:shd w:val="clear" w:fill="1658A0"/>
    </w:rPr>
  </w:style>
  <w:style w:type="character" w:customStyle="1" w:styleId="26">
    <w:name w:val="before13"/>
    <w:basedOn w:val="5"/>
    <w:qFormat/>
    <w:uiPriority w:val="0"/>
    <w:rPr>
      <w:shd w:val="clear" w:fill="1658A0"/>
    </w:rPr>
  </w:style>
  <w:style w:type="character" w:customStyle="1" w:styleId="27">
    <w:name w:val="before14"/>
    <w:basedOn w:val="5"/>
    <w:qFormat/>
    <w:uiPriority w:val="0"/>
    <w:rPr>
      <w:shd w:val="clear" w:fill="1658A0"/>
    </w:rPr>
  </w:style>
  <w:style w:type="character" w:customStyle="1" w:styleId="28">
    <w:name w:val="before15"/>
    <w:basedOn w:val="5"/>
    <w:qFormat/>
    <w:uiPriority w:val="0"/>
    <w:rPr>
      <w:shd w:val="clear" w:fill="CC0000"/>
    </w:rPr>
  </w:style>
  <w:style w:type="character" w:customStyle="1" w:styleId="29">
    <w:name w:val="before16"/>
    <w:basedOn w:val="5"/>
    <w:qFormat/>
    <w:uiPriority w:val="0"/>
    <w:rPr>
      <w:bdr w:val="single" w:color="DE0000" w:sz="12" w:space="0"/>
      <w:shd w:val="clear" w:fill="FFF1F1"/>
    </w:rPr>
  </w:style>
  <w:style w:type="character" w:customStyle="1" w:styleId="30">
    <w:name w:val="before17"/>
    <w:basedOn w:val="5"/>
    <w:qFormat/>
    <w:uiPriority w:val="0"/>
    <w:rPr>
      <w:vanish/>
    </w:rPr>
  </w:style>
  <w:style w:type="character" w:customStyle="1" w:styleId="31">
    <w:name w:val="before18"/>
    <w:basedOn w:val="5"/>
    <w:qFormat/>
    <w:uiPriority w:val="0"/>
    <w:rPr>
      <w:shd w:val="clear" w:fill="1658A0"/>
    </w:rPr>
  </w:style>
  <w:style w:type="character" w:customStyle="1" w:styleId="32">
    <w:name w:val="share"/>
    <w:basedOn w:val="5"/>
    <w:qFormat/>
    <w:uiPriority w:val="0"/>
    <w:rPr>
      <w:shd w:val="clear" w:fill="E2E2E2"/>
    </w:rPr>
  </w:style>
  <w:style w:type="character" w:customStyle="1" w:styleId="33">
    <w:name w:val="down"/>
    <w:basedOn w:val="5"/>
    <w:qFormat/>
    <w:uiPriority w:val="0"/>
  </w:style>
  <w:style w:type="character" w:customStyle="1" w:styleId="34">
    <w:name w:val="before11"/>
    <w:basedOn w:val="5"/>
    <w:qFormat/>
    <w:uiPriority w:val="0"/>
    <w:rPr>
      <w:shd w:val="clear" w:fill="1658A0"/>
    </w:rPr>
  </w:style>
  <w:style w:type="character" w:customStyle="1" w:styleId="35">
    <w:name w:val="before12"/>
    <w:basedOn w:val="5"/>
    <w:qFormat/>
    <w:uiPriority w:val="0"/>
    <w:rPr>
      <w:bdr w:val="single" w:color="DE0000" w:sz="12" w:space="0"/>
      <w:shd w:val="clear" w:fill="FFF1F1"/>
    </w:rPr>
  </w:style>
  <w:style w:type="character" w:customStyle="1" w:styleId="36">
    <w:name w:val="after"/>
    <w:basedOn w:val="5"/>
    <w:qFormat/>
    <w:uiPriority w:val="0"/>
    <w:rPr>
      <w:shd w:val="clear" w:fill="1658A0"/>
    </w:rPr>
  </w:style>
  <w:style w:type="character" w:customStyle="1" w:styleId="37">
    <w:name w:val="after1"/>
    <w:basedOn w:val="5"/>
    <w:qFormat/>
    <w:uiPriority w:val="0"/>
    <w:rPr>
      <w:color w:val="C9C9C9"/>
    </w:rPr>
  </w:style>
  <w:style w:type="character" w:customStyle="1" w:styleId="38">
    <w:name w:val="after2"/>
    <w:basedOn w:val="5"/>
    <w:qFormat/>
    <w:uiPriority w:val="0"/>
    <w:rPr>
      <w:shd w:val="clear" w:fill="DE0000"/>
    </w:rPr>
  </w:style>
  <w:style w:type="character" w:customStyle="1" w:styleId="39">
    <w:name w:val="after3"/>
    <w:basedOn w:val="5"/>
    <w:qFormat/>
    <w:uiPriority w:val="0"/>
    <w:rPr>
      <w:shd w:val="clear" w:fill="CC0000"/>
    </w:rPr>
  </w:style>
  <w:style w:type="character" w:customStyle="1" w:styleId="40">
    <w:name w:val="slb-rig041"/>
    <w:basedOn w:val="5"/>
    <w:qFormat/>
    <w:uiPriority w:val="0"/>
  </w:style>
  <w:style w:type="character" w:customStyle="1" w:styleId="41">
    <w:name w:val="fy_go"/>
    <w:basedOn w:val="5"/>
    <w:qFormat/>
    <w:uiPriority w:val="0"/>
    <w:rPr>
      <w:color w:val="555555"/>
      <w:bdr w:val="single" w:color="D9D9D9" w:sz="6" w:space="0"/>
      <w:shd w:val="clear" w:fill="FFFFFF"/>
    </w:rPr>
  </w:style>
  <w:style w:type="character" w:customStyle="1" w:styleId="42">
    <w:name w:val="before2"/>
    <w:basedOn w:val="5"/>
    <w:qFormat/>
    <w:uiPriority w:val="0"/>
    <w:rPr>
      <w:vanish/>
    </w:rPr>
  </w:style>
  <w:style w:type="character" w:customStyle="1" w:styleId="43">
    <w:name w:val="before3"/>
    <w:basedOn w:val="5"/>
    <w:qFormat/>
    <w:uiPriority w:val="0"/>
    <w:rPr>
      <w:shd w:val="clear" w:fill="E2E2E2"/>
    </w:rPr>
  </w:style>
  <w:style w:type="character" w:customStyle="1" w:styleId="44">
    <w:name w:val="before4"/>
    <w:basedOn w:val="5"/>
    <w:qFormat/>
    <w:uiPriority w:val="0"/>
    <w:rPr>
      <w:shd w:val="clear" w:fill="1658A0"/>
    </w:rPr>
  </w:style>
  <w:style w:type="character" w:customStyle="1" w:styleId="45">
    <w:name w:val="before5"/>
    <w:basedOn w:val="5"/>
    <w:qFormat/>
    <w:uiPriority w:val="0"/>
    <w:rPr>
      <w:shd w:val="clear" w:fill="1658A0"/>
    </w:rPr>
  </w:style>
  <w:style w:type="character" w:customStyle="1" w:styleId="46">
    <w:name w:val="before6"/>
    <w:basedOn w:val="5"/>
    <w:qFormat/>
    <w:uiPriority w:val="0"/>
    <w:rPr>
      <w:shd w:val="clear" w:fill="CC0000"/>
    </w:rPr>
  </w:style>
  <w:style w:type="character" w:customStyle="1" w:styleId="47">
    <w:name w:val="before7"/>
    <w:basedOn w:val="5"/>
    <w:qFormat/>
    <w:uiPriority w:val="0"/>
    <w:rPr>
      <w:bdr w:val="single" w:color="DE0000" w:sz="12" w:space="0"/>
      <w:shd w:val="clear" w:fill="FFF1F1"/>
    </w:rPr>
  </w:style>
  <w:style w:type="character" w:customStyle="1" w:styleId="48">
    <w:name w:val="before8"/>
    <w:basedOn w:val="5"/>
    <w:qFormat/>
    <w:uiPriority w:val="0"/>
    <w:rPr>
      <w:shd w:val="clear" w:fill="1658A0"/>
    </w:rPr>
  </w:style>
  <w:style w:type="character" w:customStyle="1" w:styleId="49">
    <w:name w:val="after11"/>
    <w:basedOn w:val="5"/>
    <w:qFormat/>
    <w:uiPriority w:val="0"/>
    <w:rPr>
      <w:shd w:val="clear" w:fill="DE0000"/>
    </w:rPr>
  </w:style>
  <w:style w:type="character" w:customStyle="1" w:styleId="50">
    <w:name w:val="before19"/>
    <w:basedOn w:val="5"/>
    <w:qFormat/>
    <w:uiPriority w:val="0"/>
    <w:rPr>
      <w:shd w:val="clear" w:fill="1658A0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1</Lines>
  <Paragraphs>1</Paragraphs>
  <TotalTime>453</TotalTime>
  <ScaleCrop>false</ScaleCrop>
  <LinksUpToDate>false</LinksUpToDate>
  <CharactersWithSpaces>0</CharactersWithSpaces>
  <Application>WPS Office_11.8.2.11473_F1E327BC-269C-435d-A152-05C5408002CA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2008-09-11T17:20:00Z</dcterms:created>
  <dc:creator>Administrator</dc:creator>
  <cp:lastModifiedBy>lzh</cp:lastModifiedBy>
  <dcterms:modified xsi:type="dcterms:W3CDTF">2024-11-06T06:32:22Z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2052-11.8.2.11473</vt:lpwstr>
  </property>
  <property fmtid="{D5CDD505-2E9C-101B-9397-08002B2CF9AE}" pid="3" name="ICV">
    <vt:lpwstr>BA063EE724164F9FA3C2029C1D798266</vt:lpwstr>
  </property>
</Properties>
</file>