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仿宋_GB2312" w:cs="黑体"/>
          <w:bCs/>
          <w:color w:val="000000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bCs/>
          <w:color w:val="000000"/>
          <w:szCs w:val="32"/>
        </w:rPr>
        <w:t>附件1</w:t>
      </w:r>
    </w:p>
    <w:p>
      <w:pPr>
        <w:spacing w:line="600" w:lineRule="exact"/>
        <w:textAlignment w:val="baseline"/>
        <w:rPr>
          <w:rFonts w:hint="eastAsia" w:ascii="仿宋_GB2312"/>
          <w:b/>
          <w:color w:val="000000"/>
          <w:szCs w:val="32"/>
        </w:rPr>
      </w:pPr>
    </w:p>
    <w:p>
      <w:pPr>
        <w:widowControl/>
        <w:snapToGrid w:val="0"/>
        <w:spacing w:line="600" w:lineRule="exact"/>
        <w:jc w:val="center"/>
        <w:textAlignment w:val="bottom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各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县（市）区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能繁母猪和规模养猪场保有量</w:t>
      </w:r>
    </w:p>
    <w:p>
      <w:pPr>
        <w:widowControl/>
        <w:snapToGrid w:val="0"/>
        <w:spacing w:line="600" w:lineRule="exact"/>
        <w:jc w:val="center"/>
        <w:textAlignment w:val="bottom"/>
        <w:rPr>
          <w:rFonts w:hint="eastAsia" w:ascii="宋体" w:eastAsia="宋体" w:cs="宋体"/>
          <w:b/>
          <w:bCs/>
          <w:color w:val="000000"/>
          <w:spacing w:val="-20"/>
          <w:kern w:val="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89"/>
        <w:gridCol w:w="2329"/>
        <w:gridCol w:w="2295"/>
        <w:gridCol w:w="2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18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szCs w:val="32"/>
              </w:rPr>
            </w:pPr>
            <w:r>
              <w:rPr>
                <w:rFonts w:hint="eastAsia" w:ascii="黑体" w:eastAsia="黑体"/>
                <w:color w:val="000000"/>
                <w:szCs w:val="32"/>
              </w:rPr>
              <w:t>地区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能繁母猪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正常保有量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（万头）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能繁母猪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最低保有量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szCs w:val="32"/>
              </w:rPr>
            </w:pPr>
            <w:r>
              <w:rPr>
                <w:rFonts w:hint="eastAsia" w:ascii="黑体" w:eastAsia="黑体"/>
                <w:color w:val="000000"/>
                <w:kern w:val="0"/>
                <w:szCs w:val="32"/>
              </w:rPr>
              <w:t>（万头）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szCs w:val="32"/>
              </w:rPr>
            </w:pPr>
            <w:r>
              <w:rPr>
                <w:rFonts w:hint="eastAsia" w:ascii="黑体" w:eastAsia="黑体"/>
                <w:color w:val="000000"/>
                <w:szCs w:val="32"/>
              </w:rPr>
              <w:t xml:space="preserve">规模养猪场 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szCs w:val="32"/>
              </w:rPr>
            </w:pPr>
            <w:r>
              <w:rPr>
                <w:rFonts w:hint="eastAsia" w:ascii="黑体" w:eastAsia="黑体"/>
                <w:color w:val="000000"/>
                <w:szCs w:val="32"/>
              </w:rPr>
              <w:t>保有量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bottom"/>
              <w:rPr>
                <w:rFonts w:hint="eastAsia" w:ascii="黑体" w:eastAsia="黑体"/>
                <w:color w:val="000000"/>
                <w:kern w:val="0"/>
                <w:szCs w:val="32"/>
              </w:rPr>
            </w:pPr>
            <w:r>
              <w:rPr>
                <w:rFonts w:hint="eastAsia" w:ascii="黑体" w:eastAsia="黑体"/>
                <w:color w:val="000000"/>
                <w:szCs w:val="32"/>
              </w:rPr>
              <w:t>（个）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福清市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3.81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3.4</w:t>
            </w:r>
            <w:r>
              <w:rPr>
                <w:rFonts w:hint="eastAsia" w:ascii="仿宋_GB2312"/>
                <w:color w:val="000000"/>
                <w:lang w:val="en-US" w:eastAsia="zh-CN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长乐区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0.93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0.8</w:t>
            </w:r>
            <w:r>
              <w:rPr>
                <w:rFonts w:hint="eastAsia" w:ascii="仿宋_GB2312"/>
                <w:color w:val="000000"/>
                <w:lang w:val="en-US" w:eastAsia="zh-CN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连江县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1.09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0.98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闽侯县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2.19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1.97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闽清县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0.79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0.71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罗源县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0.65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0.5</w:t>
            </w:r>
            <w:r>
              <w:rPr>
                <w:rFonts w:hint="eastAsia" w:ascii="仿宋_GB2312"/>
                <w:color w:val="000000"/>
                <w:lang w:val="en-US" w:eastAsia="zh-CN"/>
              </w:rPr>
              <w:t>9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永泰县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0.82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0.7</w:t>
            </w:r>
            <w:r>
              <w:rPr>
                <w:rFonts w:hint="eastAsia" w:ascii="仿宋_GB2312"/>
                <w:color w:val="000000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晋安区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0.3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0.27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马尾区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bidi="ar"/>
              </w:rPr>
              <w:t>0.22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0.</w:t>
            </w:r>
            <w:r>
              <w:rPr>
                <w:rFonts w:hint="eastAsia" w:ascii="仿宋_GB2312"/>
                <w:color w:val="000000"/>
                <w:lang w:val="en-US" w:eastAsia="zh-CN"/>
              </w:rPr>
              <w:t>20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lang w:val="en-US" w:eastAsia="zh-CN"/>
              </w:rPr>
            </w:pPr>
            <w:r>
              <w:rPr>
                <w:rFonts w:hint="eastAsia" w:ascii="仿宋_GB2312"/>
                <w:color w:val="00000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rFonts w:hint="eastAsia" w:ascii="仿宋_GB2312"/>
                <w:color w:val="000000"/>
                <w:szCs w:val="32"/>
              </w:rPr>
            </w:pPr>
            <w:r>
              <w:rPr>
                <w:rFonts w:hint="eastAsia" w:ascii="仿宋_GB2312"/>
                <w:color w:val="000000"/>
                <w:szCs w:val="32"/>
              </w:rPr>
              <w:t>合计</w:t>
            </w:r>
          </w:p>
        </w:tc>
        <w:tc>
          <w:tcPr>
            <w:tcW w:w="2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10.8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9.7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color w:val="000000"/>
              </w:rPr>
            </w:pPr>
            <w:r>
              <w:rPr>
                <w:rFonts w:hint="eastAsia" w:ascii="仿宋_GB2312"/>
                <w:color w:val="000000"/>
              </w:rPr>
              <w:t>139</w:t>
            </w:r>
          </w:p>
        </w:tc>
      </w:tr>
    </w:tbl>
    <w:p>
      <w:pPr>
        <w:snapToGrid w:val="0"/>
        <w:spacing w:line="420" w:lineRule="exact"/>
        <w:textAlignment w:val="baseline"/>
        <w:rPr>
          <w:rFonts w:hint="eastAsia" w:ascii="仿宋_GB2312"/>
          <w:color w:val="000000"/>
          <w:szCs w:val="32"/>
        </w:rPr>
        <w:sectPr>
          <w:footerReference r:id="rId3" w:type="default"/>
          <w:pgSz w:w="11907" w:h="16840"/>
          <w:pgMar w:top="1985" w:right="1361" w:bottom="1418" w:left="1531" w:header="851" w:footer="1134" w:gutter="0"/>
          <w:pgNumType w:fmt="numberInDash" w:start="1"/>
          <w:cols w:space="720" w:num="1"/>
          <w:docGrid w:type="lines" w:linePitch="435" w:charSpace="-6553"/>
        </w:sectPr>
      </w:pPr>
    </w:p>
    <w:p>
      <w:pPr>
        <w:spacing w:line="640" w:lineRule="exact"/>
        <w:textAlignment w:val="baseline"/>
        <w:rPr>
          <w:rFonts w:hint="eastAsia" w:ascii="黑体" w:eastAsia="黑体" w:cs="黑体"/>
          <w:bCs/>
          <w:color w:val="000000"/>
          <w:szCs w:val="32"/>
        </w:rPr>
      </w:pPr>
      <w:r>
        <w:rPr>
          <w:rFonts w:hint="eastAsia" w:ascii="黑体" w:eastAsia="黑体" w:cs="黑体"/>
          <w:bCs/>
          <w:color w:val="000000"/>
          <w:szCs w:val="32"/>
        </w:rPr>
        <w:t>附件2</w:t>
      </w:r>
    </w:p>
    <w:p>
      <w:pPr>
        <w:spacing w:line="640" w:lineRule="exact"/>
        <w:jc w:val="center"/>
        <w:textAlignment w:val="baseline"/>
        <w:rPr>
          <w:rFonts w:hint="eastAsia" w:ascii="方正小标宋简体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eastAsia="方正小标宋简体" w:cs="华文中宋"/>
          <w:color w:val="000000"/>
          <w:sz w:val="44"/>
          <w:szCs w:val="44"/>
        </w:rPr>
        <w:t>国家级、省级</w:t>
      </w:r>
      <w:r>
        <w:rPr>
          <w:rFonts w:hint="eastAsia" w:ascii="方正小标宋简体" w:eastAsia="方正小标宋简体" w:cs="华文中宋"/>
          <w:color w:val="000000"/>
          <w:sz w:val="44"/>
          <w:szCs w:val="44"/>
          <w:lang w:eastAsia="zh-CN"/>
        </w:rPr>
        <w:t>、</w:t>
      </w:r>
      <w:r>
        <w:rPr>
          <w:rFonts w:hint="eastAsia" w:ascii="方正小标宋简体" w:eastAsia="方正小标宋简体" w:cs="华文中宋"/>
          <w:color w:val="000000"/>
          <w:sz w:val="44"/>
          <w:szCs w:val="44"/>
        </w:rPr>
        <w:t>市级生猪产能调控</w:t>
      </w:r>
    </w:p>
    <w:p>
      <w:pPr>
        <w:spacing w:line="640" w:lineRule="exact"/>
        <w:jc w:val="center"/>
        <w:textAlignment w:val="baseline"/>
        <w:rPr>
          <w:rFonts w:hint="eastAsia" w:ascii="方正小标宋简体" w:eastAsia="方正小标宋简体" w:cs="华文中宋"/>
          <w:color w:val="000000"/>
          <w:sz w:val="44"/>
          <w:szCs w:val="44"/>
        </w:rPr>
      </w:pPr>
      <w:r>
        <w:rPr>
          <w:rFonts w:hint="eastAsia" w:ascii="方正小标宋简体" w:eastAsia="方正小标宋简体" w:cs="华文中宋"/>
          <w:color w:val="000000"/>
          <w:sz w:val="44"/>
          <w:szCs w:val="44"/>
        </w:rPr>
        <w:t>基地标牌式样</w:t>
      </w:r>
    </w:p>
    <w:p>
      <w:pPr>
        <w:wordWrap w:val="0"/>
        <w:jc w:val="center"/>
        <w:rPr>
          <w:rFonts w:hint="eastAsia" w:eastAsia="黑体"/>
          <w:color w:val="000000"/>
          <w:sz w:val="44"/>
          <w:szCs w:val="44"/>
        </w:rPr>
      </w:pPr>
      <w:r>
        <w:rPr>
          <w:rFonts w:eastAsia="黑体"/>
          <w:color w:val="000000"/>
          <w:sz w:val="44"/>
          <w:szCs w:val="44"/>
        </w:rPr>
        <w:drawing>
          <wp:inline distT="0" distB="0" distL="114300" distR="114300">
            <wp:extent cx="3447415" cy="2504440"/>
            <wp:effectExtent l="0" t="0" r="635" b="10160"/>
            <wp:docPr id="1" name="图片 1" descr="5026629301636592144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0266293016365921448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741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规格：50×70厘米平面焊边</w:t>
      </w:r>
    </w:p>
    <w:p>
      <w:pPr>
        <w:spacing w:line="560" w:lineRule="exact"/>
        <w:ind w:firstLine="64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工艺：外抛光内拉丝</w:t>
      </w:r>
    </w:p>
    <w:p>
      <w:pPr>
        <w:spacing w:line="560" w:lineRule="exact"/>
        <w:ind w:firstLine="64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厚度：1毫米</w:t>
      </w:r>
    </w:p>
    <w:p>
      <w:pPr>
        <w:spacing w:line="560" w:lineRule="exact"/>
        <w:ind w:left="1920" w:leftChars="200" w:hanging="1280" w:hangingChars="4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文字：1.国家级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</w:rPr>
        <w:t>省级</w:t>
      </w:r>
      <w:r>
        <w:rPr>
          <w:rFonts w:hint="eastAsia" w:ascii="仿宋_GB2312"/>
          <w:color w:val="000000"/>
          <w:szCs w:val="32"/>
          <w:lang w:eastAsia="zh-CN"/>
        </w:rPr>
        <w:t>、</w:t>
      </w:r>
      <w:r>
        <w:rPr>
          <w:rFonts w:hint="eastAsia" w:ascii="仿宋_GB2312"/>
          <w:color w:val="000000"/>
          <w:szCs w:val="32"/>
          <w:lang w:val="en-US" w:eastAsia="zh-CN"/>
        </w:rPr>
        <w:t>市级</w:t>
      </w:r>
      <w:r>
        <w:rPr>
          <w:rFonts w:hint="eastAsia" w:ascii="仿宋_GB2312"/>
          <w:color w:val="000000"/>
          <w:szCs w:val="32"/>
        </w:rPr>
        <w:t xml:space="preserve">生猪产能调控基地，长7.2×宽4.5厘米，华文楷体，红色； </w:t>
      </w:r>
    </w:p>
    <w:p>
      <w:pPr>
        <w:spacing w:line="560" w:lineRule="exact"/>
        <w:ind w:left="1920" w:leftChars="500" w:hanging="320" w:hangingChars="1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2.中华人民共和国农业农村部，福建省农业农村厅，福州市农业农村局，长2.2×宽2.1厘米，方正黑体，黑色；</w:t>
      </w:r>
    </w:p>
    <w:p>
      <w:pPr>
        <w:spacing w:line="560" w:lineRule="exact"/>
        <w:ind w:left="1920" w:leftChars="500" w:hanging="320" w:hangingChars="1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3.二〇二二年二月（注：从2023年起每年2月份增补</w:t>
      </w:r>
      <w:r>
        <w:rPr>
          <w:rFonts w:hint="eastAsia" w:ascii="仿宋_GB2312"/>
          <w:color w:val="000000"/>
          <w:spacing w:val="-8"/>
          <w:szCs w:val="32"/>
        </w:rPr>
        <w:t>或退出一次），长2.2×宽2.1厘米，方正黑体，黑色。</w:t>
      </w:r>
    </w:p>
    <w:p>
      <w:pPr>
        <w:spacing w:line="560" w:lineRule="exact"/>
        <w:ind w:firstLine="64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授牌条件：规模养猪场自愿加入，每月能够及时准确报送存栏、出栏等生猪生产信息，并按照要求配合开展产能调控工作；企业法人或实际控制人没有被列入失信被执行人。</w:t>
      </w:r>
    </w:p>
    <w:p>
      <w:pPr>
        <w:spacing w:line="600" w:lineRule="exact"/>
        <w:textAlignment w:val="baseline"/>
        <w:rPr>
          <w:rFonts w:hint="eastAsia" w:ascii="黑体" w:eastAsia="黑体" w:cs="黑体"/>
          <w:bCs/>
          <w:color w:val="000000"/>
          <w:szCs w:val="32"/>
        </w:rPr>
      </w:pPr>
    </w:p>
    <w:p>
      <w:pPr>
        <w:spacing w:line="600" w:lineRule="exact"/>
        <w:textAlignment w:val="baseline"/>
        <w:rPr>
          <w:rFonts w:hint="eastAsia" w:ascii="黑体" w:eastAsia="黑体" w:cs="黑体"/>
          <w:bCs/>
          <w:color w:val="000000"/>
          <w:szCs w:val="32"/>
        </w:rPr>
      </w:pPr>
      <w:r>
        <w:rPr>
          <w:rFonts w:hint="eastAsia" w:ascii="黑体" w:eastAsia="黑体" w:cs="黑体"/>
          <w:bCs/>
          <w:color w:val="000000"/>
          <w:szCs w:val="32"/>
        </w:rPr>
        <w:t>附件3</w:t>
      </w:r>
    </w:p>
    <w:p>
      <w:pPr>
        <w:spacing w:line="600" w:lineRule="exact"/>
        <w:textAlignment w:val="baseline"/>
        <w:rPr>
          <w:rFonts w:hint="eastAsia" w:ascii="仿宋_GB2312"/>
          <w:b/>
          <w:color w:val="000000"/>
          <w:szCs w:val="32"/>
        </w:rPr>
      </w:pPr>
    </w:p>
    <w:p>
      <w:pPr>
        <w:snapToGrid w:val="0"/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福州市生猪产能调控工作考核实施细则</w:t>
      </w:r>
    </w:p>
    <w:p>
      <w:pPr>
        <w:snapToGrid w:val="0"/>
        <w:spacing w:line="600" w:lineRule="exact"/>
        <w:jc w:val="center"/>
        <w:rPr>
          <w:rFonts w:hint="eastAsia" w:ascii="仿宋_GB2312"/>
          <w:b/>
          <w:color w:val="000000"/>
          <w:szCs w:val="32"/>
        </w:rPr>
      </w:pP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 xml:space="preserve">第一条  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考核依据。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依据</w:t>
      </w:r>
      <w:r>
        <w:rPr>
          <w:rFonts w:hint="eastAsia" w:ascii="仿宋_GB2312" w:eastAsia="仿宋_GB2312"/>
          <w:color w:val="000000"/>
          <w:sz w:val="32"/>
          <w:szCs w:val="32"/>
        </w:rPr>
        <w:t>福建省农业农村厅《关于印发&lt;福建省生猪产能调控实施方案（暂行）&gt;的通知》和福州市农业农村局《关于印发&lt;福州市生猪产能调控实施方案（暂行）&gt;的通知》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，制定本实施细则。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第二条  考</w:t>
      </w:r>
      <w:r>
        <w:rPr>
          <w:rFonts w:hint="eastAsia" w:ascii="仿宋_GB2312" w:eastAsia="仿宋_GB2312"/>
          <w:b/>
          <w:bCs/>
          <w:color w:val="000000"/>
          <w:kern w:val="0"/>
          <w:sz w:val="32"/>
          <w:szCs w:val="32"/>
        </w:rPr>
        <w:t>核范围和对象。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各县（市）区</w:t>
      </w:r>
      <w:r>
        <w:rPr>
          <w:rFonts w:hint="eastAsia" w:ascii="仿宋_GB2312" w:eastAsia="仿宋_GB2312"/>
          <w:color w:val="000000"/>
          <w:sz w:val="32"/>
          <w:szCs w:val="32"/>
        </w:rPr>
        <w:t>农业农村局。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第三条  考核指标。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市级下达的各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县（市）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区能繁母猪正常保有量、最低保有量和规模养猪场保有量。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第四条  考核期。</w:t>
      </w:r>
      <w:r>
        <w:rPr>
          <w:rFonts w:hint="eastAsia" w:ascii="仿宋_GB2312" w:eastAsia="仿宋_GB2312"/>
          <w:color w:val="000000"/>
          <w:sz w:val="32"/>
          <w:szCs w:val="32"/>
        </w:rPr>
        <w:t>以日历年度为考核期，考核得分根据当年各项指标数据计算，每年1—2月份对上一年度开展考核。考核从2022年度开始。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第五条  考核等次。</w:t>
      </w:r>
      <w:r>
        <w:rPr>
          <w:rFonts w:hint="eastAsia" w:ascii="仿宋_GB2312" w:eastAsia="仿宋_GB2312"/>
          <w:color w:val="000000"/>
          <w:sz w:val="32"/>
          <w:szCs w:val="32"/>
        </w:rPr>
        <w:t>考核采取“基础分+附加分”的方式，基础分为100分，附加分最高加10分。结果分为4个等级，90分以上为优秀，75分以上90分以下为良好，60分以上75分以下为合格，60分以下为不合格（以上包括本数，以下不包括本数）。</w:t>
      </w:r>
    </w:p>
    <w:p>
      <w:pPr>
        <w:snapToGrid w:val="0"/>
        <w:spacing w:line="600" w:lineRule="exact"/>
        <w:ind w:firstLine="643" w:firstLineChars="200"/>
        <w:rPr>
          <w:rFonts w:hint="eastAsia" w:ascii="仿宋_GB2312"/>
          <w:color w:val="000000"/>
          <w:kern w:val="0"/>
          <w:szCs w:val="32"/>
        </w:rPr>
      </w:pPr>
      <w:r>
        <w:rPr>
          <w:rFonts w:hint="eastAsia" w:ascii="仿宋_GB2312"/>
          <w:b/>
          <w:bCs/>
          <w:color w:val="000000"/>
          <w:szCs w:val="32"/>
        </w:rPr>
        <w:t>第六条  保能繁母猪存栏量底线（60分）。</w:t>
      </w:r>
      <w:r>
        <w:rPr>
          <w:rFonts w:hint="eastAsia" w:ascii="仿宋_GB2312"/>
          <w:color w:val="000000"/>
          <w:kern w:val="0"/>
          <w:szCs w:val="32"/>
        </w:rPr>
        <w:t>确保能繁母猪存栏量相对稳定，以季（月）度存栏量不低于正常保有量的95%，特别是不低于最低保有量为工作目标。每个季度中，能繁母猪季度末存栏量不低于正常保有量的95%，当季得8分；低于正常保有量的95%，但不低于最低保有量的，得5分；低于最低保有量的，不得分。8个非季末月份中，能繁母猪月度存栏量不低于正常保有量的95%，当月得3.5分；低于正常保有量的95%，但不低于最低保有量的，得2分；低于最低保有量的，不得分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第七条  稳定规模养猪场数量（26分）。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确保规模养猪场数量总体稳定，不违法拆除规模养猪场。规模养猪场月度备案数不低于保有量95%的，当月得2分；低于保有量95%的，当月不得分。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落实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建立分级生猪产能调控基地并挂牌的（首次挂牌在2022年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eastAsia="zh-CN"/>
        </w:rPr>
        <w:t>底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之前完成，此后每年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月上旬前完成上一年度新增基地挂牌和退出基地摘牌），得2分。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第八条  建立生猪产能分级调控机制（14分）。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制定本辖区生猪产能调控实施方案并组织实施的，得3分。将能繁母猪和规模养猪场保有量等指标任务下达到具体乡镇、落实到具体养猪场的，得3分。重视生猪生产监测工作，加强经费保障的，得1分；定期开展数据质量核查，没有出现明显数据质量问题的，得1分。全年未出现能繁母猪月度存栏量低于正常保有量的95%情形的，得6分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第九条  落实生猪产能调控政策（加10分）。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当本辖区能繁母猪月度存栏量大幅减少或生猪养殖连续严重亏损3个月（含）以上时，按规定统筹相关资金</w:t>
      </w:r>
      <w:r>
        <w:rPr>
          <w:rFonts w:hint="eastAsia" w:ascii="仿宋_GB2312" w:eastAsia="仿宋_GB2312"/>
          <w:color w:val="000000"/>
          <w:sz w:val="32"/>
          <w:szCs w:val="32"/>
        </w:rPr>
        <w:t>对规模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养猪场和</w:t>
      </w:r>
      <w:r>
        <w:rPr>
          <w:rFonts w:hint="eastAsia" w:ascii="仿宋_GB2312" w:eastAsia="仿宋_GB2312"/>
          <w:color w:val="000000"/>
          <w:sz w:val="32"/>
          <w:szCs w:val="32"/>
        </w:rPr>
        <w:t>种猪场（含地方保种场）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给予一次性临时救助补贴的，加2分。协调地方法人金融机构，扩大和增加对符合条件的养猪场信贷投放的，加2分；按规定统筹资金给予贷款贴息补助的，加2分。出现种猪生产供应、新生仔猪数量或生猪存栏量异常减少等情况时，及时研究并采取针对性政策措施的，以及结合实际出台其他政策措施调控产能的，每项政策加1分，最多加3分。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照国家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省级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和市级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生猪调出大县奖励政策，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各县（市）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区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规范落实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生猪调出大县奖励资金的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及其及时上报生猪生产工作情况的</w:t>
      </w:r>
      <w:r>
        <w:rPr>
          <w:rFonts w:hint="eastAsia" w:ascii="仿宋_GB2312" w:eastAsia="仿宋_GB2312"/>
          <w:color w:val="auto"/>
          <w:kern w:val="0"/>
          <w:sz w:val="32"/>
          <w:szCs w:val="32"/>
        </w:rPr>
        <w:t>，加1分。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第十条  考核形式。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各县（市）区农</w:t>
      </w:r>
      <w:r>
        <w:rPr>
          <w:rFonts w:hint="eastAsia" w:ascii="仿宋_GB2312" w:eastAsia="仿宋_GB2312"/>
          <w:color w:val="000000"/>
          <w:sz w:val="32"/>
          <w:szCs w:val="32"/>
        </w:rPr>
        <w:t>业农村局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对本辖区生猪产能调控工作落实情况进行全面总结和自评，按要求形成自查报告并附县（市）区人民政府或有关部门文件等相关证明材料，于每个考核期次年1月底前，经本部门主要负责同志审核并盖章后报送市农业农村局。市农业农村局组织年度考核，并视工作需要开展现场核查。存在弄虚作假行为的，相关县（市）区该考核期一律不得评为优秀等次。市农业农村局以适当形式通报考核结果，并约谈生猪产能调控不力的县（市）区人民政府负责同志或农业农村部门主要负责同志。</w:t>
      </w:r>
    </w:p>
    <w:p>
      <w:pPr>
        <w:pStyle w:val="2"/>
        <w:snapToGrid w:val="0"/>
        <w:spacing w:line="600" w:lineRule="exact"/>
        <w:ind w:firstLine="643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第十一条  附则。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本实施细则由市农业农村局负责解释，自发布之日起施行。各县（市）区可结合实际制定本辖区生猪产能调控工作考核实施细则。</w:t>
      </w:r>
    </w:p>
    <w:p>
      <w:pPr>
        <w:pStyle w:val="3"/>
        <w:rPr>
          <w:rFonts w:hint="eastAsia" w:ascii="仿宋_GB2312" w:eastAsia="仿宋_GB2312"/>
          <w:color w:val="000000"/>
          <w:kern w:val="0"/>
          <w:sz w:val="32"/>
          <w:szCs w:val="32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eastAsia="仿宋_GB2312"/>
          <w:lang w:eastAsia="zh-CN"/>
        </w:rPr>
      </w:pPr>
    </w:p>
    <w:p/>
    <w:sectPr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6199505</wp:posOffset>
              </wp:positionH>
              <wp:positionV relativeFrom="paragraph">
                <wp:posOffset>-152400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eastAsia="宋体"/>
                              <w:sz w:val="28"/>
                              <w:szCs w:val="28"/>
                            </w:rPr>
                            <w:instrText xml:space="preserve">Page</w:instrTex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eastAsia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8.15pt;margin-top:-12pt;height:144pt;width:144pt;mso-position-horizontal-relative:page;mso-wrap-style:none;z-index:251659264;mso-width-relative:page;mso-height-relative:page;" filled="f" stroked="f" coordsize="21600,21600" o:gfxdata="UEsDBAoAAAAAAIdO4kAAAAAAAAAAAAAAAAAEAAAAZHJzL1BLAwQUAAAACACHTuJAoyKmX9gAAAAM&#10;AQAADwAAAGRycy9kb3ducmV2LnhtbE2PzW7CMBCE75X6DtYi9QY2KQo0jcMBqZfeSqtKvZl4iSP8&#10;E9kmJG/f5dTedndGs9/U+8lZNmJMffAS1isBDH0bdO87CV+fb8sdsJSV18oGjxJmTLBvHh9qVelw&#10;8x84HnPHKMSnSkkwOQ8V56k16FRahQE9aecQncq0xo7rqG4U7iwvhCi5U72nD0YNeDDYXo5XJ2E7&#10;fQccEh7w5zy20fTzzr7PUj4t1uIVWMYp/5nhjk/o0BDTKVy9TsxKeNmWz2SVsCw2VOruKMoNnU4S&#10;aBDAm5r/L9H8AlBLAwQUAAAACACHTuJA9Aknl8cBAACZAwAADgAAAGRycy9lMm9Eb2MueG1srVPN&#10;jtMwEL4j8Q6W79TZHFAVNV2BqkVICJAWHsB17MaS/+Rxm/QF4A04ceHOc/U5GDtJd1kue+DijGfG&#10;38z3zWRzO1pDTjKC9q6lN6uKEumE77Q7tPTrl7tXa0ogcddx451s6VkCvd2+fLEZQiNr33vTyUgQ&#10;xEEzhJb2KYWGMRC9tBxWPkiHQeWj5Qmv8cC6yAdEt4bVVfWaDT52IXohAdC7m4J0RozPAfRKaSF3&#10;XhytdGlCjdLwhJSg1wHotnSrlBTpk1IgEzEtRaapnFgE7X0+2XbDm0PkoddiboE/p4UnnCzXDote&#10;oXY8cXKM+h8oq0X04FVaCW/ZRKQogixuqifa3Pc8yMIFpYZwFR3+H6z4ePocie5aWlPiuMWBX358&#10;v/z8ffn1jdRZniFAg1n3AfPS+NaPuDSLH9CZWY8q2vxFPgTjKO75Kq4cExH50bperysMCYwtF8Rn&#10;D89DhPROekuy0dKI0yui8tMHSFPqkpKrOX+njSkTNO4vB2JmD8u9Tz1mK437cSa0990Z+Qw4+JY6&#10;3HNKzHuHuuYdWYy4GPvFOIaoD31ZolwPwptjwiZKb7nCBDsXxokVdvN25ZV4fC9ZD3/U9g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jIqZf2AAAAAwBAAAPAAAAAAAAAAEAIAAAACIAAABkcnMvZG93&#10;bnJldi54bWxQSwECFAAUAAAACACHTuJA9Aknl8cBAACZAwAADgAAAAAAAAABACAAAAAn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eastAsia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eastAsia="宋体"/>
                        <w:sz w:val="28"/>
                        <w:szCs w:val="28"/>
                      </w:rPr>
                      <w:instrText xml:space="preserve">Page</w:instrTex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eastAsia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WFjMDUwZDRlNTY4YWIxZmZhNmZhNDIxOTU3MjgifQ=="/>
  </w:docVars>
  <w:rsids>
    <w:rsidRoot w:val="16726660"/>
    <w:rsid w:val="16726660"/>
    <w:rsid w:val="293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next w:val="3"/>
    <w:qFormat/>
    <w:uiPriority w:val="0"/>
    <w:pPr>
      <w:widowControl w:val="0"/>
      <w:jc w:val="both"/>
    </w:pPr>
    <w:rPr>
      <w:rFonts w:ascii="宋体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2021-12-23T03:10:00Z</dcterms:created>
  <dc:creator>Administrator</dc:creator>
  <cp:lastModifiedBy>NANA</cp:lastModifiedBy>
  <dcterms:modified xsi:type="dcterms:W3CDTF">2023-08-31T10:16:39Z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DE085BB2EDC748A5B7DB51CC58FA523C_13</vt:lpwstr>
  </property>
</Properties>
</file>