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附件1</w:t>
      </w:r>
    </w:p>
    <w:p>
      <w:pPr>
        <w:spacing w:line="600" w:lineRule="exact"/>
        <w:jc w:val="both"/>
        <w:rPr>
          <w:rFonts w:hint="eastAsia" w:ascii="黑体" w:hAnsi="黑体" w:eastAsia="黑体" w:cs="黑体"/>
          <w:b w:val="0"/>
          <w:bCs w:val="0"/>
          <w:color w:val="000000"/>
          <w:sz w:val="32"/>
          <w:szCs w:val="32"/>
          <w:lang w:val="en-US" w:eastAsia="zh-CN"/>
        </w:rPr>
      </w:pPr>
    </w:p>
    <w:p>
      <w:pPr>
        <w:spacing w:line="600" w:lineRule="exact"/>
        <w:jc w:val="center"/>
        <w:rPr>
          <w:rFonts w:hint="eastAsia" w:ascii="宋体" w:hAnsi="宋体" w:eastAsia="宋体" w:cs="宋体"/>
          <w:b/>
          <w:bCs/>
          <w:color w:val="000000"/>
          <w:sz w:val="44"/>
          <w:szCs w:val="44"/>
          <w:lang w:val="en-US" w:eastAsia="zh-CN"/>
        </w:rPr>
      </w:pPr>
      <w:r>
        <w:rPr>
          <w:rFonts w:hint="eastAsia" w:ascii="宋体" w:hAnsi="宋体" w:eastAsia="宋体" w:cs="宋体"/>
          <w:b/>
          <w:bCs/>
          <w:color w:val="000000"/>
          <w:sz w:val="44"/>
          <w:szCs w:val="44"/>
          <w:lang w:val="en-US" w:eastAsia="zh-CN"/>
        </w:rPr>
        <w:t>福州市农业农村局2021年度</w:t>
      </w:r>
    </w:p>
    <w:p>
      <w:pPr>
        <w:spacing w:line="600" w:lineRule="exact"/>
        <w:jc w:val="center"/>
        <w:rPr>
          <w:rFonts w:hint="eastAsia" w:ascii="宋体" w:hAnsi="宋体" w:eastAsia="宋体" w:cs="宋体"/>
          <w:b/>
          <w:bCs/>
          <w:color w:val="000000"/>
          <w:sz w:val="44"/>
          <w:szCs w:val="44"/>
          <w:lang w:val="en-US" w:eastAsia="zh-CN"/>
        </w:rPr>
      </w:pPr>
      <w:r>
        <w:rPr>
          <w:rFonts w:hint="eastAsia" w:ascii="宋体" w:hAnsi="宋体" w:eastAsia="宋体" w:cs="宋体"/>
          <w:b/>
          <w:bCs/>
          <w:color w:val="000000"/>
          <w:sz w:val="44"/>
          <w:szCs w:val="44"/>
          <w:lang w:val="en-US" w:eastAsia="zh-CN"/>
        </w:rPr>
        <w:t>“双随机、一公开”抽查工作计划</w:t>
      </w:r>
    </w:p>
    <w:p>
      <w:pPr>
        <w:spacing w:line="600" w:lineRule="exact"/>
        <w:jc w:val="center"/>
        <w:rPr>
          <w:rFonts w:hint="eastAsia" w:ascii="宋体" w:hAnsi="宋体" w:eastAsia="宋体" w:cs="宋体"/>
          <w:b/>
          <w:bCs/>
          <w:color w:val="000000"/>
          <w:sz w:val="44"/>
          <w:szCs w:val="44"/>
          <w:lang w:val="en-US" w:eastAsia="zh-CN"/>
        </w:rPr>
      </w:pPr>
    </w:p>
    <w:p>
      <w:pPr>
        <w:spacing w:line="600" w:lineRule="exact"/>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为进一步做好“双随机、一公开”监管工作，规范事中事后监管，现结合本局实际，制定</w:t>
      </w:r>
      <w:bookmarkStart w:id="0" w:name="_GoBack"/>
      <w:r>
        <w:rPr>
          <w:rFonts w:hint="eastAsia" w:ascii="仿宋" w:hAnsi="仿宋" w:eastAsia="仿宋" w:cs="仿宋"/>
          <w:sz w:val="32"/>
          <w:szCs w:val="32"/>
          <w:lang w:val="en-US" w:eastAsia="zh-CN"/>
        </w:rPr>
        <w:t>2021年“双随机、一公开”抽查工作计划</w:t>
      </w:r>
      <w:bookmarkEnd w:id="0"/>
      <w:r>
        <w:rPr>
          <w:rFonts w:hint="eastAsia" w:ascii="仿宋" w:hAnsi="仿宋" w:eastAsia="仿宋" w:cs="仿宋"/>
          <w:sz w:val="32"/>
          <w:szCs w:val="32"/>
          <w:lang w:val="en-US" w:eastAsia="zh-CN"/>
        </w:rPr>
        <w:t>。</w:t>
      </w:r>
      <w:r>
        <w:rPr>
          <w:rFonts w:hint="eastAsia" w:ascii="仿宋" w:hAnsi="仿宋" w:eastAsia="仿宋" w:cs="仿宋"/>
          <w:sz w:val="32"/>
          <w:szCs w:val="32"/>
        </w:rPr>
        <w:t>工作方案、工作细则按照</w:t>
      </w:r>
      <w:r>
        <w:rPr>
          <w:rFonts w:hint="eastAsia" w:ascii="仿宋" w:hAnsi="仿宋" w:eastAsia="仿宋" w:cs="仿宋"/>
          <w:sz w:val="32"/>
          <w:szCs w:val="32"/>
          <w:lang w:eastAsia="zh-CN"/>
        </w:rPr>
        <w:t>《</w:t>
      </w:r>
      <w:r>
        <w:rPr>
          <w:rFonts w:hint="eastAsia" w:ascii="仿宋" w:hAnsi="仿宋" w:eastAsia="仿宋" w:cs="仿宋"/>
          <w:sz w:val="32"/>
          <w:szCs w:val="32"/>
        </w:rPr>
        <w:t>榕农</w:t>
      </w:r>
      <w:r>
        <w:rPr>
          <w:rFonts w:hint="eastAsia" w:ascii="仿宋" w:hAnsi="仿宋" w:eastAsia="仿宋" w:cs="仿宋"/>
          <w:sz w:val="32"/>
          <w:szCs w:val="32"/>
          <w:lang w:val="en-US" w:eastAsia="zh-CN"/>
        </w:rPr>
        <w:t>综</w:t>
      </w:r>
      <w:r>
        <w:rPr>
          <w:rFonts w:hint="eastAsia" w:ascii="宋体" w:hAnsi="宋体" w:eastAsia="宋体" w:cs="宋体"/>
          <w:sz w:val="32"/>
          <w:szCs w:val="32"/>
        </w:rPr>
        <w:t>〔</w:t>
      </w:r>
      <w:r>
        <w:rPr>
          <w:rFonts w:ascii="仿宋" w:hAnsi="仿宋" w:eastAsia="仿宋" w:cs="仿宋"/>
          <w:sz w:val="32"/>
          <w:szCs w:val="32"/>
        </w:rPr>
        <w:t>2019</w:t>
      </w:r>
      <w:r>
        <w:rPr>
          <w:rFonts w:hint="eastAsia" w:ascii="宋体" w:hAnsi="宋体" w:eastAsia="宋体" w:cs="宋体"/>
          <w:sz w:val="32"/>
          <w:szCs w:val="32"/>
        </w:rPr>
        <w:t>〕</w:t>
      </w:r>
      <w:r>
        <w:rPr>
          <w:rFonts w:ascii="仿宋" w:hAnsi="仿宋" w:eastAsia="仿宋" w:cs="仿宋"/>
          <w:sz w:val="32"/>
          <w:szCs w:val="32"/>
        </w:rPr>
        <w:t>116</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rPr>
        <w:t>文执行</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一、随机抽查事项内容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1.根据我局2020年度权责清单中的15项行政检查事项，实行抽查监督检查，随机抽查比例原则上不低于检查对象名录库的5%，抽查频次原则上每年不少于2次。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2.各责任处室根据职责范围内的抽查事项，制定具体抽查计划。</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二、随机抽查工作开展时间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从2021年4月至12月安排开展随机抽查工作。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三、检查主体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1.检查对象名录库由</w:t>
      </w:r>
      <w:r>
        <w:rPr>
          <w:rFonts w:hint="eastAsia" w:ascii="仿宋_GB2312" w:eastAsia="仿宋_GB2312"/>
          <w:bCs/>
          <w:sz w:val="32"/>
          <w:szCs w:val="32"/>
        </w:rPr>
        <w:t>农业云</w:t>
      </w:r>
      <w:r>
        <w:rPr>
          <w:rFonts w:ascii="仿宋_GB2312" w:eastAsia="仿宋_GB2312"/>
          <w:bCs/>
          <w:sz w:val="32"/>
          <w:szCs w:val="32"/>
        </w:rPr>
        <w:t>131</w:t>
      </w:r>
      <w:r>
        <w:rPr>
          <w:rFonts w:hint="eastAsia" w:ascii="仿宋_GB2312" w:eastAsia="仿宋_GB2312"/>
          <w:bCs/>
          <w:sz w:val="32"/>
          <w:szCs w:val="32"/>
        </w:rPr>
        <w:t>—“</w:t>
      </w:r>
      <w:r>
        <w:rPr>
          <w:rFonts w:ascii="仿宋_GB2312" w:eastAsia="仿宋_GB2312"/>
          <w:bCs/>
          <w:sz w:val="32"/>
          <w:szCs w:val="32"/>
        </w:rPr>
        <w:t>双随机、一公开</w:t>
      </w:r>
      <w:r>
        <w:rPr>
          <w:rFonts w:hint="eastAsia" w:ascii="仿宋_GB2312" w:eastAsia="仿宋_GB2312"/>
          <w:bCs/>
          <w:sz w:val="32"/>
          <w:szCs w:val="32"/>
        </w:rPr>
        <w:t>”</w:t>
      </w:r>
      <w:r>
        <w:rPr>
          <w:rFonts w:hint="eastAsia" w:ascii="仿宋" w:hAnsi="仿宋" w:eastAsia="仿宋" w:cs="仿宋"/>
          <w:sz w:val="32"/>
          <w:szCs w:val="32"/>
          <w:lang w:val="en-US" w:eastAsia="zh-CN"/>
        </w:rPr>
        <w:t>系统中生鲜乳质量安全监督检查等15项检查事项库组成。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检查人员由种业管理处、畜牧兽医处、种植业管理处、农业机械化管理处、科技教育处、农产品质量安全监管处、农业综合执法支队、市农田建设与土壤肥料技术站等8个责任处室站所组成，局内其他相关处（站）所应积极主动配合。</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四、检查结果公开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抽查工作结束后，抽查结果信息将按规定在市政府“双随机、一公开”专栏以及本局门户网站公布，3个工作日内录入“互联网+监管”平台、农业云131系统及公共信用信息平台，依法向社会公示，接受社会监督。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五、其他事项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仿宋_GB2312" w:eastAsia="仿宋_GB2312"/>
          <w:bCs/>
          <w:sz w:val="32"/>
          <w:szCs w:val="32"/>
          <w:lang w:val="en-US" w:eastAsia="zh-CN"/>
        </w:rPr>
      </w:pPr>
      <w:r>
        <w:rPr>
          <w:rFonts w:hint="eastAsia" w:ascii="仿宋" w:hAnsi="仿宋" w:eastAsia="仿宋" w:cs="仿宋"/>
          <w:sz w:val="32"/>
          <w:szCs w:val="32"/>
          <w:lang w:val="en-US" w:eastAsia="zh-CN"/>
        </w:rPr>
        <w:t>1.</w:t>
      </w:r>
      <w:r>
        <w:rPr>
          <w:rFonts w:ascii="仿宋_GB2312" w:eastAsia="仿宋_GB2312"/>
          <w:bCs/>
          <w:sz w:val="32"/>
          <w:szCs w:val="32"/>
        </w:rPr>
        <w:t>全面运用</w:t>
      </w:r>
      <w:r>
        <w:rPr>
          <w:rFonts w:hint="eastAsia" w:ascii="仿宋_GB2312" w:eastAsia="仿宋_GB2312"/>
          <w:bCs/>
          <w:sz w:val="32"/>
          <w:szCs w:val="32"/>
        </w:rPr>
        <w:t>农业云</w:t>
      </w:r>
      <w:r>
        <w:rPr>
          <w:rFonts w:ascii="仿宋_GB2312" w:eastAsia="仿宋_GB2312"/>
          <w:bCs/>
          <w:sz w:val="32"/>
          <w:szCs w:val="32"/>
        </w:rPr>
        <w:t>131</w:t>
      </w:r>
      <w:r>
        <w:rPr>
          <w:rFonts w:hint="eastAsia" w:ascii="仿宋_GB2312" w:eastAsia="仿宋_GB2312"/>
          <w:bCs/>
          <w:sz w:val="32"/>
          <w:szCs w:val="32"/>
        </w:rPr>
        <w:t>—“</w:t>
      </w:r>
      <w:r>
        <w:rPr>
          <w:rFonts w:ascii="仿宋_GB2312" w:eastAsia="仿宋_GB2312"/>
          <w:bCs/>
          <w:sz w:val="32"/>
          <w:szCs w:val="32"/>
        </w:rPr>
        <w:t>双随机、一公开</w:t>
      </w:r>
      <w:r>
        <w:rPr>
          <w:rFonts w:hint="eastAsia" w:ascii="仿宋_GB2312" w:eastAsia="仿宋_GB2312"/>
          <w:bCs/>
          <w:sz w:val="32"/>
          <w:szCs w:val="32"/>
        </w:rPr>
        <w:t>”</w:t>
      </w:r>
      <w:r>
        <w:rPr>
          <w:rFonts w:ascii="仿宋_GB2312" w:eastAsia="仿宋_GB2312"/>
          <w:bCs/>
          <w:sz w:val="32"/>
          <w:szCs w:val="32"/>
        </w:rPr>
        <w:t>系统</w:t>
      </w:r>
      <w:r>
        <w:rPr>
          <w:rFonts w:hint="eastAsia" w:ascii="仿宋_GB2312" w:eastAsia="仿宋_GB2312"/>
          <w:bCs/>
          <w:sz w:val="32"/>
          <w:szCs w:val="32"/>
        </w:rPr>
        <w:t>开展</w:t>
      </w:r>
      <w:r>
        <w:rPr>
          <w:rFonts w:hint="eastAsia" w:ascii="仿宋_GB2312" w:eastAsia="仿宋_GB2312"/>
          <w:bCs/>
          <w:sz w:val="32"/>
          <w:szCs w:val="32"/>
          <w:lang w:val="en-US" w:eastAsia="zh-CN"/>
        </w:rPr>
        <w:t>抽查检查</w:t>
      </w:r>
      <w:r>
        <w:rPr>
          <w:rFonts w:ascii="仿宋_GB2312" w:eastAsia="仿宋_GB2312"/>
          <w:bCs/>
          <w:sz w:val="32"/>
          <w:szCs w:val="32"/>
        </w:rPr>
        <w:t>，</w:t>
      </w:r>
      <w:r>
        <w:rPr>
          <w:rFonts w:hint="eastAsia" w:ascii="仿宋" w:hAnsi="仿宋" w:eastAsia="仿宋" w:cs="仿宋"/>
          <w:sz w:val="32"/>
          <w:szCs w:val="32"/>
          <w:lang w:val="en-US" w:eastAsia="zh-CN"/>
        </w:rPr>
        <w:t>检查对象名录库与执法人员名录库由各责任处室站所在系统中及时动态更新，</w:t>
      </w:r>
      <w:r>
        <w:rPr>
          <w:rFonts w:hint="eastAsia" w:ascii="仿宋_GB2312" w:eastAsia="仿宋_GB2312"/>
          <w:bCs/>
          <w:sz w:val="32"/>
          <w:szCs w:val="32"/>
          <w:lang w:val="en-US" w:eastAsia="zh-CN"/>
        </w:rPr>
        <w:t>从工作计划至检查结果全部在系统留痕。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仿宋_GB2312" w:eastAsia="仿宋_GB2312"/>
          <w:bCs/>
          <w:sz w:val="32"/>
          <w:szCs w:val="32"/>
          <w:lang w:val="en-US" w:eastAsia="zh-CN"/>
        </w:rPr>
      </w:pPr>
      <w:r>
        <w:rPr>
          <w:rFonts w:hint="eastAsia" w:ascii="仿宋" w:hAnsi="仿宋" w:eastAsia="仿宋" w:cs="仿宋"/>
          <w:sz w:val="32"/>
          <w:szCs w:val="32"/>
          <w:lang w:val="en-US" w:eastAsia="zh-CN"/>
        </w:rPr>
        <w:t>2.各县（市）区及局</w:t>
      </w:r>
      <w:r>
        <w:rPr>
          <w:rFonts w:hint="eastAsia" w:ascii="仿宋_GB2312" w:eastAsia="仿宋_GB2312"/>
          <w:bCs/>
          <w:sz w:val="32"/>
          <w:szCs w:val="32"/>
          <w:lang w:val="en-US" w:eastAsia="zh-CN"/>
        </w:rPr>
        <w:t>相关责任处室站所于7月1日和12月1日前向局法规处报送半年和年度工作总结。</w:t>
      </w:r>
    </w:p>
    <w:p>
      <w:pPr>
        <w:pStyle w:val="3"/>
        <w:keepNext w:val="0"/>
        <w:keepLines w:val="0"/>
        <w:pageBreakBefore w:val="0"/>
        <w:widowControl w:val="0"/>
        <w:kinsoku/>
        <w:wordWrap/>
        <w:overflowPunct/>
        <w:topLinePunct w:val="0"/>
        <w:bidi w:val="0"/>
        <w:spacing w:beforeAutospacing="0" w:line="600" w:lineRule="exact"/>
        <w:ind w:right="0" w:rightChars="0"/>
        <w:textAlignment w:val="auto"/>
        <w:outlineLvl w:val="9"/>
        <w:rPr>
          <w:rFonts w:hint="eastAsia"/>
          <w:color w:val="auto"/>
        </w:rPr>
      </w:pPr>
    </w:p>
    <w:p/>
    <w:sectPr>
      <w:headerReference r:id="rId3" w:type="default"/>
      <w:footerReference r:id="rId4" w:type="default"/>
      <w:pgSz w:w="11906" w:h="16838"/>
      <w:pgMar w:top="1417" w:right="1531"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7C7247"/>
    <w:rsid w:val="507C7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200" w:leftChars="200"/>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2"/>
    <w:qFormat/>
    <w:uiPriority w:val="0"/>
    <w:pPr>
      <w:spacing w:before="100" w:beforeAutospacing="1" w:after="0"/>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2021-04-20T05:02:00Z</dcterms:created>
  <dc:creator>泓</dc:creator>
  <cp:lastModifiedBy>泓</cp:lastModifiedBy>
  <dcterms:modified xsi:type="dcterms:W3CDTF">2021-04-20T05:03:18Z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DBED97C388244C228B19D1A15D672019</vt:lpwstr>
  </property>
</Properties>
</file>